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0"/>
        <w:rPr>
          <w:rFonts w:ascii="宋体" w:hAnsi="宋体" w:eastAsia="宋体"/>
          <w:b/>
          <w:spacing w:val="0"/>
          <w:w w:val="80"/>
          <w:szCs w:val="52"/>
          <w:u w:val="single"/>
        </w:rPr>
      </w:pPr>
    </w:p>
    <w:p>
      <w:pPr>
        <w:snapToGrid w:val="0"/>
        <w:spacing w:before="381" w:beforeLines="100" w:after="381" w:afterLines="100" w:line="440" w:lineRule="exact"/>
        <w:ind w:firstLine="0"/>
        <w:jc w:val="center"/>
        <w:rPr>
          <w:rFonts w:ascii="宋体" w:hAnsi="宋体" w:eastAsia="宋体"/>
          <w:b/>
          <w:spacing w:val="0"/>
          <w:w w:val="80"/>
          <w:sz w:val="52"/>
          <w:szCs w:val="52"/>
        </w:rPr>
      </w:pPr>
    </w:p>
    <w:p>
      <w:pPr>
        <w:snapToGrid w:val="0"/>
        <w:spacing w:before="381" w:beforeLines="100" w:after="381" w:afterLines="100" w:line="240" w:lineRule="atLeast"/>
        <w:ind w:firstLine="0"/>
        <w:jc w:val="center"/>
        <w:rPr>
          <w:rFonts w:ascii="宋体" w:hAnsi="宋体" w:eastAsia="宋体"/>
          <w:b/>
          <w:color w:val="auto"/>
          <w:spacing w:val="0"/>
          <w:w w:val="80"/>
          <w:sz w:val="52"/>
          <w:szCs w:val="52"/>
          <w:highlight w:val="none"/>
        </w:rPr>
      </w:pPr>
      <w:bookmarkStart w:id="0" w:name="_GoBack"/>
      <w:r>
        <w:rPr>
          <w:rFonts w:hint="eastAsia" w:ascii="宋体" w:hAnsi="宋体" w:eastAsia="宋体"/>
          <w:b/>
          <w:color w:val="auto"/>
          <w:spacing w:val="0"/>
          <w:w w:val="80"/>
          <w:sz w:val="52"/>
          <w:szCs w:val="52"/>
          <w:highlight w:val="none"/>
        </w:rPr>
        <w:t>生产基地厂房及配套用房工程（二期）</w:t>
      </w:r>
    </w:p>
    <w:p>
      <w:pPr>
        <w:snapToGrid w:val="0"/>
        <w:spacing w:before="381" w:beforeLines="100" w:after="381" w:afterLines="100" w:line="240" w:lineRule="atLeast"/>
        <w:ind w:firstLine="0"/>
        <w:jc w:val="center"/>
        <w:rPr>
          <w:rFonts w:ascii="宋体" w:hAnsi="宋体" w:eastAsia="宋体"/>
          <w:b/>
          <w:color w:val="auto"/>
          <w:spacing w:val="0"/>
          <w:w w:val="80"/>
          <w:sz w:val="52"/>
          <w:szCs w:val="52"/>
          <w:highlight w:val="none"/>
        </w:rPr>
      </w:pPr>
      <w:r>
        <w:rPr>
          <w:rFonts w:hint="eastAsia" w:ascii="宋体" w:hAnsi="宋体" w:eastAsia="宋体"/>
          <w:b/>
          <w:color w:val="auto"/>
          <w:spacing w:val="0"/>
          <w:w w:val="80"/>
          <w:sz w:val="52"/>
          <w:szCs w:val="52"/>
          <w:highlight w:val="none"/>
        </w:rPr>
        <w:t>水土保持技术咨询服务合同书</w:t>
      </w:r>
    </w:p>
    <w:p>
      <w:pPr>
        <w:snapToGrid w:val="0"/>
        <w:spacing w:line="240" w:lineRule="atLeast"/>
        <w:ind w:firstLine="0"/>
        <w:jc w:val="center"/>
        <w:rPr>
          <w:rFonts w:ascii="宋体" w:hAnsi="宋体" w:eastAsia="宋体"/>
          <w:color w:val="auto"/>
          <w:spacing w:val="0"/>
          <w:w w:val="80"/>
          <w:szCs w:val="48"/>
          <w:highlight w:val="none"/>
        </w:rPr>
      </w:pPr>
    </w:p>
    <w:p>
      <w:pPr>
        <w:snapToGrid w:val="0"/>
        <w:spacing w:line="440" w:lineRule="exact"/>
        <w:ind w:firstLine="0"/>
        <w:jc w:val="center"/>
        <w:rPr>
          <w:rFonts w:ascii="宋体" w:hAnsi="宋体" w:eastAsia="宋体"/>
          <w:color w:val="auto"/>
          <w:spacing w:val="0"/>
          <w:w w:val="80"/>
          <w:highlight w:val="none"/>
        </w:rPr>
      </w:pPr>
    </w:p>
    <w:p>
      <w:pPr>
        <w:snapToGrid w:val="0"/>
        <w:spacing w:line="440" w:lineRule="exact"/>
        <w:ind w:firstLine="0"/>
        <w:jc w:val="center"/>
        <w:rPr>
          <w:rFonts w:ascii="宋体" w:hAnsi="宋体" w:eastAsia="宋体"/>
          <w:color w:val="auto"/>
          <w:spacing w:val="0"/>
          <w:w w:val="80"/>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snapToGrid w:val="0"/>
        <w:spacing w:line="440" w:lineRule="exact"/>
        <w:ind w:firstLine="0"/>
        <w:rPr>
          <w:rFonts w:ascii="宋体" w:hAnsi="宋体" w:eastAsia="宋体"/>
          <w:color w:val="auto"/>
          <w:spacing w:val="0"/>
          <w:w w:val="80"/>
          <w:highlight w:val="none"/>
        </w:rPr>
      </w:pPr>
    </w:p>
    <w:p>
      <w:pPr>
        <w:spacing w:before="190" w:beforeLines="50" w:after="190" w:afterLines="50" w:line="440" w:lineRule="exact"/>
        <w:ind w:firstLine="0"/>
        <w:rPr>
          <w:rFonts w:ascii="宋体" w:hAnsi="宋体" w:eastAsia="宋体" w:cs="黑体"/>
          <w:color w:val="auto"/>
          <w:spacing w:val="0"/>
          <w:w w:val="80"/>
          <w:sz w:val="36"/>
          <w:szCs w:val="36"/>
          <w:highlight w:val="none"/>
          <w:u w:val="single"/>
        </w:rPr>
      </w:pPr>
      <w:r>
        <w:rPr>
          <w:rFonts w:hint="eastAsia" w:ascii="宋体" w:hAnsi="宋体" w:eastAsia="宋体" w:cs="黑体"/>
          <w:b/>
          <w:color w:val="auto"/>
          <w:spacing w:val="0"/>
          <w:w w:val="80"/>
          <w:sz w:val="36"/>
          <w:szCs w:val="36"/>
          <w:highlight w:val="none"/>
        </w:rPr>
        <w:t>项目名称：</w:t>
      </w:r>
      <w:r>
        <w:rPr>
          <w:rFonts w:hint="eastAsia" w:ascii="宋体" w:hAnsi="宋体" w:eastAsia="宋体" w:cs="黑体"/>
          <w:color w:val="auto"/>
          <w:spacing w:val="0"/>
          <w:w w:val="80"/>
          <w:sz w:val="36"/>
          <w:szCs w:val="36"/>
          <w:highlight w:val="none"/>
          <w:u w:val="single"/>
        </w:rPr>
        <w:t>生产基地厂房及配套用房工程（二期）水土保持</w:t>
      </w:r>
    </w:p>
    <w:p>
      <w:pPr>
        <w:spacing w:before="190" w:beforeLines="50" w:after="190" w:afterLines="50" w:line="440" w:lineRule="exact"/>
        <w:ind w:firstLine="0"/>
        <w:rPr>
          <w:rFonts w:ascii="宋体" w:hAnsi="宋体" w:eastAsia="宋体" w:cs="黑体"/>
          <w:color w:val="auto"/>
          <w:spacing w:val="0"/>
          <w:w w:val="80"/>
          <w:sz w:val="36"/>
          <w:szCs w:val="36"/>
          <w:highlight w:val="none"/>
          <w:u w:val="single"/>
        </w:rPr>
      </w:pPr>
      <w:r>
        <w:rPr>
          <w:rFonts w:hint="eastAsia" w:ascii="宋体" w:hAnsi="宋体" w:eastAsia="宋体" w:cs="黑体"/>
          <w:b/>
          <w:color w:val="auto"/>
          <w:spacing w:val="0"/>
          <w:w w:val="80"/>
          <w:sz w:val="36"/>
          <w:szCs w:val="36"/>
          <w:highlight w:val="none"/>
        </w:rPr>
        <w:t>工程地点</w:t>
      </w:r>
      <w:r>
        <w:rPr>
          <w:rFonts w:ascii="宋体" w:hAnsi="宋体" w:eastAsia="宋体" w:cs="黑体"/>
          <w:b/>
          <w:color w:val="auto"/>
          <w:spacing w:val="0"/>
          <w:w w:val="80"/>
          <w:sz w:val="36"/>
          <w:szCs w:val="36"/>
          <w:highlight w:val="none"/>
        </w:rPr>
        <w:t>:</w:t>
      </w:r>
      <w:r>
        <w:rPr>
          <w:rFonts w:ascii="宋体" w:hAnsi="宋体" w:eastAsia="宋体"/>
          <w:b/>
          <w:color w:val="auto"/>
          <w:spacing w:val="0"/>
          <w:w w:val="80"/>
          <w:sz w:val="36"/>
          <w:szCs w:val="36"/>
          <w:highlight w:val="none"/>
        </w:rPr>
        <w:t xml:space="preserve"> </w:t>
      </w:r>
      <w:r>
        <w:rPr>
          <w:rFonts w:ascii="宋体" w:hAnsi="宋体" w:eastAsia="宋体"/>
          <w:color w:val="auto"/>
          <w:spacing w:val="0"/>
          <w:w w:val="80"/>
          <w:sz w:val="36"/>
          <w:szCs w:val="36"/>
          <w:highlight w:val="none"/>
          <w:u w:val="single"/>
        </w:rPr>
        <w:t xml:space="preserve">     </w:t>
      </w:r>
      <w:r>
        <w:rPr>
          <w:rFonts w:hint="eastAsia" w:ascii="宋体" w:hAnsi="宋体" w:eastAsia="宋体" w:cs="黑体"/>
          <w:color w:val="auto"/>
          <w:spacing w:val="0"/>
          <w:w w:val="80"/>
          <w:sz w:val="36"/>
          <w:szCs w:val="36"/>
          <w:highlight w:val="none"/>
          <w:u w:val="single"/>
        </w:rPr>
        <w:t xml:space="preserve">黄埔区云埔工业区方达路2号       </w:t>
      </w:r>
    </w:p>
    <w:p>
      <w:pPr>
        <w:spacing w:before="190" w:beforeLines="50" w:after="190" w:afterLines="50" w:line="440" w:lineRule="exact"/>
        <w:ind w:firstLine="0"/>
        <w:rPr>
          <w:rFonts w:ascii="宋体" w:hAnsi="宋体" w:eastAsia="宋体" w:cs="黑体"/>
          <w:color w:val="auto"/>
          <w:spacing w:val="0"/>
          <w:w w:val="80"/>
          <w:sz w:val="36"/>
          <w:szCs w:val="36"/>
          <w:highlight w:val="none"/>
          <w:u w:val="single"/>
        </w:rPr>
      </w:pPr>
      <w:r>
        <w:rPr>
          <w:rFonts w:hint="eastAsia" w:ascii="宋体" w:hAnsi="宋体" w:eastAsia="宋体" w:cs="黑体"/>
          <w:b/>
          <w:color w:val="auto"/>
          <w:spacing w:val="0"/>
          <w:w w:val="80"/>
          <w:sz w:val="36"/>
          <w:szCs w:val="36"/>
          <w:highlight w:val="none"/>
        </w:rPr>
        <w:t>合同编号：</w:t>
      </w:r>
      <w:r>
        <w:rPr>
          <w:rFonts w:hint="eastAsia" w:ascii="宋体" w:hAnsi="宋体" w:eastAsia="宋体" w:cs="黑体"/>
          <w:color w:val="auto"/>
          <w:spacing w:val="0"/>
          <w:w w:val="80"/>
          <w:sz w:val="36"/>
          <w:szCs w:val="36"/>
          <w:highlight w:val="none"/>
          <w:u w:val="single"/>
        </w:rPr>
        <w:t xml:space="preserve">      </w:t>
      </w:r>
      <w:r>
        <w:rPr>
          <w:rFonts w:ascii="宋体" w:hAnsi="宋体" w:eastAsia="宋体" w:cs="黑体"/>
          <w:color w:val="auto"/>
          <w:spacing w:val="0"/>
          <w:w w:val="80"/>
          <w:sz w:val="36"/>
          <w:szCs w:val="36"/>
          <w:highlight w:val="none"/>
          <w:u w:val="single"/>
        </w:rPr>
        <w:t xml:space="preserve">     </w:t>
      </w:r>
      <w:r>
        <w:rPr>
          <w:rFonts w:hint="eastAsia" w:ascii="宋体" w:hAnsi="宋体" w:eastAsia="宋体" w:cs="黑体"/>
          <w:color w:val="auto"/>
          <w:spacing w:val="0"/>
          <w:w w:val="80"/>
          <w:sz w:val="36"/>
          <w:szCs w:val="36"/>
          <w:highlight w:val="none"/>
          <w:u w:val="single"/>
        </w:rPr>
        <w:t xml:space="preserve">              </w:t>
      </w:r>
    </w:p>
    <w:p>
      <w:pPr>
        <w:spacing w:before="190" w:beforeLines="50" w:after="190" w:afterLines="50" w:line="440" w:lineRule="exact"/>
        <w:ind w:firstLine="0"/>
        <w:rPr>
          <w:rFonts w:ascii="宋体" w:hAnsi="宋体" w:eastAsia="宋体"/>
          <w:color w:val="auto"/>
          <w:spacing w:val="0"/>
          <w:w w:val="80"/>
          <w:sz w:val="36"/>
          <w:szCs w:val="36"/>
          <w:highlight w:val="none"/>
          <w:u w:val="single"/>
        </w:rPr>
      </w:pPr>
      <w:r>
        <w:rPr>
          <w:rFonts w:hint="eastAsia" w:ascii="宋体" w:hAnsi="宋体" w:eastAsia="宋体" w:cs="黑体"/>
          <w:b/>
          <w:color w:val="auto"/>
          <w:spacing w:val="0"/>
          <w:w w:val="80"/>
          <w:sz w:val="36"/>
          <w:szCs w:val="36"/>
          <w:highlight w:val="none"/>
        </w:rPr>
        <w:t>发包人：</w:t>
      </w:r>
      <w:r>
        <w:rPr>
          <w:rFonts w:hint="eastAsia" w:ascii="宋体" w:hAnsi="宋体" w:eastAsia="宋体" w:cs="黑体"/>
          <w:color w:val="auto"/>
          <w:spacing w:val="0"/>
          <w:w w:val="80"/>
          <w:sz w:val="36"/>
          <w:szCs w:val="36"/>
          <w:highlight w:val="none"/>
          <w:u w:val="single"/>
        </w:rPr>
        <w:t xml:space="preserve">      </w:t>
      </w:r>
      <w:r>
        <w:rPr>
          <w:rFonts w:hint="eastAsia" w:ascii="宋体" w:hAnsi="宋体" w:eastAsia="宋体" w:cs="黑体"/>
          <w:bCs/>
          <w:color w:val="auto"/>
          <w:spacing w:val="0"/>
          <w:w w:val="80"/>
          <w:sz w:val="36"/>
          <w:szCs w:val="36"/>
          <w:highlight w:val="none"/>
          <w:u w:val="single"/>
        </w:rPr>
        <w:t>黑牛食品（广州）有限公司</w:t>
      </w:r>
      <w:r>
        <w:rPr>
          <w:rFonts w:hint="eastAsia" w:ascii="宋体" w:hAnsi="宋体" w:eastAsia="宋体" w:cs="黑体"/>
          <w:color w:val="auto"/>
          <w:spacing w:val="0"/>
          <w:w w:val="80"/>
          <w:sz w:val="36"/>
          <w:szCs w:val="36"/>
          <w:highlight w:val="none"/>
          <w:u w:val="single"/>
        </w:rPr>
        <w:t xml:space="preserve">  </w:t>
      </w:r>
      <w:r>
        <w:rPr>
          <w:rFonts w:hint="eastAsia" w:ascii="宋体" w:hAnsi="宋体" w:eastAsia="宋体"/>
          <w:color w:val="auto"/>
          <w:spacing w:val="0"/>
          <w:w w:val="80"/>
          <w:sz w:val="36"/>
          <w:szCs w:val="36"/>
          <w:highlight w:val="none"/>
          <w:u w:val="single"/>
        </w:rPr>
        <w:t xml:space="preserve">    </w:t>
      </w:r>
      <w:r>
        <w:rPr>
          <w:rFonts w:ascii="宋体" w:hAnsi="宋体" w:eastAsia="宋体"/>
          <w:color w:val="auto"/>
          <w:spacing w:val="0"/>
          <w:w w:val="80"/>
          <w:sz w:val="36"/>
          <w:szCs w:val="36"/>
          <w:highlight w:val="none"/>
          <w:u w:val="single"/>
        </w:rPr>
        <w:t xml:space="preserve">  </w:t>
      </w:r>
      <w:r>
        <w:rPr>
          <w:rFonts w:hint="eastAsia" w:ascii="宋体" w:hAnsi="宋体" w:eastAsia="宋体"/>
          <w:color w:val="auto"/>
          <w:spacing w:val="0"/>
          <w:w w:val="80"/>
          <w:sz w:val="36"/>
          <w:szCs w:val="36"/>
          <w:highlight w:val="none"/>
          <w:u w:val="single"/>
        </w:rPr>
        <w:t xml:space="preserve">   </w:t>
      </w:r>
    </w:p>
    <w:p>
      <w:pPr>
        <w:spacing w:before="190" w:beforeLines="50" w:after="190" w:afterLines="50" w:line="440" w:lineRule="exact"/>
        <w:ind w:firstLine="0"/>
        <w:rPr>
          <w:rFonts w:ascii="宋体" w:hAnsi="宋体" w:eastAsia="宋体"/>
          <w:b/>
          <w:color w:val="auto"/>
          <w:spacing w:val="0"/>
          <w:w w:val="80"/>
          <w:sz w:val="36"/>
          <w:szCs w:val="36"/>
          <w:highlight w:val="none"/>
          <w:u w:val="single"/>
        </w:rPr>
      </w:pPr>
      <w:r>
        <w:rPr>
          <w:rFonts w:hint="eastAsia" w:ascii="宋体" w:hAnsi="宋体" w:eastAsia="宋体" w:cs="黑体"/>
          <w:b/>
          <w:color w:val="auto"/>
          <w:spacing w:val="0"/>
          <w:w w:val="80"/>
          <w:sz w:val="36"/>
          <w:szCs w:val="36"/>
          <w:highlight w:val="none"/>
        </w:rPr>
        <w:t>承包人：</w:t>
      </w:r>
      <w:r>
        <w:rPr>
          <w:rFonts w:ascii="宋体" w:hAnsi="宋体" w:eastAsia="宋体"/>
          <w:b/>
          <w:color w:val="auto"/>
          <w:spacing w:val="0"/>
          <w:w w:val="80"/>
          <w:sz w:val="36"/>
          <w:szCs w:val="36"/>
          <w:highlight w:val="none"/>
          <w:u w:val="single"/>
        </w:rPr>
        <w:t xml:space="preserve"> </w:t>
      </w:r>
      <w:r>
        <w:rPr>
          <w:rFonts w:hint="eastAsia" w:ascii="宋体" w:hAnsi="宋体" w:eastAsia="宋体"/>
          <w:b/>
          <w:color w:val="auto"/>
          <w:spacing w:val="0"/>
          <w:w w:val="80"/>
          <w:sz w:val="36"/>
          <w:szCs w:val="36"/>
          <w:highlight w:val="none"/>
          <w:u w:val="single"/>
        </w:rPr>
        <w:t xml:space="preserve">  </w:t>
      </w:r>
      <w:r>
        <w:rPr>
          <w:rFonts w:ascii="宋体" w:hAnsi="宋体" w:eastAsia="宋体"/>
          <w:b/>
          <w:color w:val="auto"/>
          <w:spacing w:val="0"/>
          <w:w w:val="80"/>
          <w:sz w:val="36"/>
          <w:szCs w:val="36"/>
          <w:highlight w:val="none"/>
          <w:u w:val="single"/>
        </w:rPr>
        <w:t xml:space="preserve">     </w:t>
      </w:r>
      <w:r>
        <w:rPr>
          <w:rFonts w:hint="eastAsia" w:ascii="宋体" w:hAnsi="宋体" w:eastAsia="宋体"/>
          <w:b/>
          <w:color w:val="auto"/>
          <w:spacing w:val="0"/>
          <w:w w:val="80"/>
          <w:sz w:val="36"/>
          <w:szCs w:val="36"/>
          <w:highlight w:val="none"/>
          <w:u w:val="single"/>
        </w:rPr>
        <w:t xml:space="preserve">                    </w:t>
      </w:r>
      <w:r>
        <w:rPr>
          <w:rFonts w:hint="eastAsia" w:ascii="宋体" w:hAnsi="宋体" w:eastAsia="宋体" w:cs="黑体"/>
          <w:b/>
          <w:color w:val="auto"/>
          <w:spacing w:val="0"/>
          <w:w w:val="80"/>
          <w:sz w:val="36"/>
          <w:szCs w:val="36"/>
          <w:highlight w:val="none"/>
          <w:u w:val="single"/>
        </w:rPr>
        <w:t xml:space="preserve">  </w:t>
      </w:r>
      <w:r>
        <w:rPr>
          <w:rFonts w:ascii="宋体" w:hAnsi="宋体" w:eastAsia="宋体" w:cs="黑体"/>
          <w:b/>
          <w:color w:val="auto"/>
          <w:spacing w:val="0"/>
          <w:w w:val="80"/>
          <w:sz w:val="36"/>
          <w:szCs w:val="36"/>
          <w:highlight w:val="none"/>
          <w:u w:val="single"/>
        </w:rPr>
        <w:t xml:space="preserve">   </w:t>
      </w:r>
      <w:r>
        <w:rPr>
          <w:rFonts w:hint="eastAsia" w:ascii="宋体" w:hAnsi="宋体" w:eastAsia="宋体" w:cs="黑体"/>
          <w:b/>
          <w:color w:val="auto"/>
          <w:spacing w:val="0"/>
          <w:w w:val="80"/>
          <w:sz w:val="36"/>
          <w:szCs w:val="36"/>
          <w:highlight w:val="none"/>
          <w:u w:val="single"/>
        </w:rPr>
        <w:t xml:space="preserve"> </w:t>
      </w:r>
      <w:r>
        <w:rPr>
          <w:rFonts w:hint="eastAsia" w:ascii="宋体" w:hAnsi="宋体" w:eastAsia="宋体"/>
          <w:b/>
          <w:color w:val="auto"/>
          <w:spacing w:val="0"/>
          <w:w w:val="80"/>
          <w:sz w:val="36"/>
          <w:szCs w:val="36"/>
          <w:highlight w:val="none"/>
          <w:u w:val="single"/>
        </w:rPr>
        <w:t xml:space="preserve">   </w:t>
      </w:r>
    </w:p>
    <w:p>
      <w:pPr>
        <w:pStyle w:val="9"/>
        <w:spacing w:before="190" w:beforeLines="50" w:after="190" w:afterLines="50" w:line="440" w:lineRule="exact"/>
        <w:ind w:firstLine="0"/>
        <w:rPr>
          <w:rFonts w:ascii="宋体" w:hAnsi="宋体" w:eastAsia="宋体"/>
          <w:b/>
          <w:color w:val="auto"/>
          <w:spacing w:val="0"/>
          <w:w w:val="80"/>
          <w:sz w:val="36"/>
          <w:szCs w:val="36"/>
          <w:highlight w:val="none"/>
        </w:rPr>
      </w:pPr>
      <w:r>
        <w:rPr>
          <w:rFonts w:hint="eastAsia" w:ascii="宋体" w:hAnsi="宋体" w:eastAsia="宋体" w:cs="黑体"/>
          <w:b/>
          <w:color w:val="auto"/>
          <w:spacing w:val="0"/>
          <w:w w:val="80"/>
          <w:sz w:val="36"/>
          <w:szCs w:val="36"/>
          <w:highlight w:val="none"/>
        </w:rPr>
        <w:t>签订日期</w:t>
      </w:r>
      <w:r>
        <w:rPr>
          <w:rFonts w:hint="eastAsia" w:ascii="宋体" w:hAnsi="宋体" w:eastAsia="宋体"/>
          <w:b/>
          <w:color w:val="auto"/>
          <w:spacing w:val="0"/>
          <w:w w:val="80"/>
          <w:sz w:val="36"/>
          <w:szCs w:val="36"/>
          <w:highlight w:val="none"/>
        </w:rPr>
        <w:t>：</w:t>
      </w:r>
      <w:r>
        <w:rPr>
          <w:rFonts w:hint="eastAsia" w:ascii="宋体" w:hAnsi="宋体" w:eastAsia="宋体"/>
          <w:b/>
          <w:color w:val="auto"/>
          <w:spacing w:val="0"/>
          <w:w w:val="80"/>
          <w:sz w:val="36"/>
          <w:szCs w:val="36"/>
          <w:highlight w:val="none"/>
          <w:u w:val="single"/>
        </w:rPr>
        <w:t xml:space="preserve">         </w:t>
      </w:r>
      <w:r>
        <w:rPr>
          <w:rFonts w:hint="eastAsia" w:ascii="宋体" w:hAnsi="宋体" w:eastAsia="宋体" w:cs="黑体"/>
          <w:b/>
          <w:color w:val="auto"/>
          <w:spacing w:val="0"/>
          <w:w w:val="80"/>
          <w:sz w:val="36"/>
          <w:szCs w:val="36"/>
          <w:highlight w:val="none"/>
          <w:u w:val="single"/>
        </w:rPr>
        <w:t xml:space="preserve"> </w:t>
      </w:r>
      <w:r>
        <w:rPr>
          <w:rFonts w:ascii="宋体" w:hAnsi="宋体" w:eastAsia="宋体" w:cs="黑体"/>
          <w:b/>
          <w:color w:val="auto"/>
          <w:spacing w:val="0"/>
          <w:w w:val="80"/>
          <w:sz w:val="36"/>
          <w:szCs w:val="36"/>
          <w:highlight w:val="none"/>
          <w:u w:val="single"/>
        </w:rPr>
        <w:t xml:space="preserve">     </w:t>
      </w:r>
      <w:r>
        <w:rPr>
          <w:rFonts w:hint="eastAsia" w:ascii="宋体" w:hAnsi="宋体" w:eastAsia="宋体" w:cs="黑体"/>
          <w:b/>
          <w:color w:val="auto"/>
          <w:spacing w:val="0"/>
          <w:w w:val="80"/>
          <w:sz w:val="36"/>
          <w:szCs w:val="36"/>
          <w:highlight w:val="none"/>
          <w:u w:val="single"/>
        </w:rPr>
        <w:t xml:space="preserve">        </w:t>
      </w:r>
      <w:r>
        <w:rPr>
          <w:rFonts w:ascii="宋体" w:hAnsi="宋体" w:eastAsia="宋体" w:cs="黑体"/>
          <w:b/>
          <w:color w:val="auto"/>
          <w:spacing w:val="0"/>
          <w:w w:val="80"/>
          <w:sz w:val="36"/>
          <w:szCs w:val="36"/>
          <w:highlight w:val="none"/>
          <w:u w:val="single"/>
        </w:rPr>
        <w:t xml:space="preserve"> </w:t>
      </w:r>
      <w:r>
        <w:rPr>
          <w:rFonts w:hint="eastAsia" w:ascii="宋体" w:hAnsi="宋体" w:eastAsia="宋体" w:cs="黑体"/>
          <w:b/>
          <w:color w:val="auto"/>
          <w:spacing w:val="0"/>
          <w:w w:val="80"/>
          <w:sz w:val="36"/>
          <w:szCs w:val="36"/>
          <w:highlight w:val="none"/>
          <w:u w:val="single"/>
        </w:rPr>
        <w:t xml:space="preserve"> </w:t>
      </w:r>
      <w:r>
        <w:rPr>
          <w:rFonts w:hint="eastAsia" w:ascii="宋体" w:hAnsi="宋体" w:eastAsia="宋体"/>
          <w:b/>
          <w:color w:val="auto"/>
          <w:spacing w:val="0"/>
          <w:w w:val="80"/>
          <w:sz w:val="36"/>
          <w:szCs w:val="36"/>
          <w:highlight w:val="none"/>
          <w:u w:val="single"/>
        </w:rPr>
        <w:t xml:space="preserve">  </w:t>
      </w:r>
      <w:r>
        <w:rPr>
          <w:rFonts w:ascii="宋体" w:hAnsi="宋体" w:eastAsia="宋体"/>
          <w:b/>
          <w:color w:val="auto"/>
          <w:spacing w:val="0"/>
          <w:w w:val="80"/>
          <w:sz w:val="36"/>
          <w:szCs w:val="36"/>
          <w:highlight w:val="none"/>
          <w:u w:val="single"/>
        </w:rPr>
        <w:t xml:space="preserve"> </w:t>
      </w:r>
      <w:r>
        <w:rPr>
          <w:rFonts w:hint="eastAsia" w:ascii="宋体" w:hAnsi="宋体" w:eastAsia="宋体"/>
          <w:b/>
          <w:color w:val="auto"/>
          <w:spacing w:val="0"/>
          <w:w w:val="80"/>
          <w:sz w:val="36"/>
          <w:szCs w:val="36"/>
          <w:highlight w:val="none"/>
          <w:u w:val="single"/>
        </w:rPr>
        <w:t xml:space="preserve">          </w:t>
      </w:r>
      <w:r>
        <w:rPr>
          <w:rFonts w:ascii="宋体" w:hAnsi="宋体" w:eastAsia="宋体"/>
          <w:b/>
          <w:color w:val="auto"/>
          <w:spacing w:val="0"/>
          <w:w w:val="80"/>
          <w:sz w:val="36"/>
          <w:szCs w:val="36"/>
          <w:highlight w:val="none"/>
        </w:rPr>
        <mc:AlternateContent>
          <mc:Choice Requires="wps">
            <w:drawing>
              <wp:anchor distT="0" distB="0" distL="114300" distR="114300" simplePos="0" relativeHeight="251659264" behindDoc="0" locked="0" layoutInCell="0" allowOverlap="1">
                <wp:simplePos x="0" y="0"/>
                <wp:positionH relativeFrom="column">
                  <wp:posOffset>3953510</wp:posOffset>
                </wp:positionH>
                <wp:positionV relativeFrom="paragraph">
                  <wp:posOffset>6189345</wp:posOffset>
                </wp:positionV>
                <wp:extent cx="595630" cy="4197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5630" cy="419735"/>
                        </a:xfrm>
                        <a:prstGeom prst="rect">
                          <a:avLst/>
                        </a:prstGeom>
                        <a:noFill/>
                        <a:ln>
                          <a:noFill/>
                        </a:ln>
                      </wps:spPr>
                      <wps:txbx>
                        <w:txbxContent>
                          <w:p>
                            <w:pPr>
                              <w:pStyle w:val="3"/>
                              <w:spacing w:before="120"/>
                              <w:rPr>
                                <w:rFonts w:eastAsia="黑体"/>
                                <w:sz w:val="30"/>
                              </w:rPr>
                            </w:pPr>
                            <w:r>
                              <w:rPr>
                                <w:rFonts w:hint="eastAsia" w:eastAsia="黑体"/>
                                <w:sz w:val="22"/>
                              </w:rPr>
                              <w:t xml:space="preserve"> </w:t>
                            </w:r>
                          </w:p>
                        </w:txbxContent>
                      </wps:txbx>
                      <wps:bodyPr upright="1"/>
                    </wps:wsp>
                  </a:graphicData>
                </a:graphic>
              </wp:anchor>
            </w:drawing>
          </mc:Choice>
          <mc:Fallback>
            <w:pict>
              <v:shape id="_x0000_s1026" o:spid="_x0000_s1026" o:spt="202" type="#_x0000_t202" style="position:absolute;left:0pt;margin-left:311.3pt;margin-top:487.35pt;height:33.05pt;width:46.9pt;z-index:251659264;mso-width-relative:page;mso-height-relative:page;" filled="f" stroked="f" coordsize="21600,21600" o:allowincell="f" o:gfxdata="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26lPdkA&#10;AAAMAQAADwAAAAAAAAABACAAAAAiAAAAZHJzL2Rvd25yZXYueG1sUEsBAhQAFAAAAAgAh07iQEdY&#10;mYqsAQAATQMAAA4AAAAAAAAAAQAgAAAAKAEAAGRycy9lMm9Eb2MueG1sUEsFBgAAAAAGAAYAWQEA&#10;AEYFAAAAAA==&#10;">
                <v:fill on="f" focussize="0,0"/>
                <v:stroke on="f"/>
                <v:imagedata o:title=""/>
                <o:lock v:ext="edit" aspectratio="f"/>
                <v:textbox>
                  <w:txbxContent>
                    <w:p>
                      <w:pPr>
                        <w:pStyle w:val="3"/>
                        <w:spacing w:before="120"/>
                        <w:rPr>
                          <w:rFonts w:eastAsia="黑体"/>
                          <w:sz w:val="30"/>
                        </w:rPr>
                      </w:pPr>
                      <w:r>
                        <w:rPr>
                          <w:rFonts w:hint="eastAsia" w:eastAsia="黑体"/>
                          <w:sz w:val="22"/>
                        </w:rPr>
                        <w:t xml:space="preserve"> </w:t>
                      </w:r>
                    </w:p>
                  </w:txbxContent>
                </v:textbox>
              </v:shape>
            </w:pict>
          </mc:Fallback>
        </mc:AlternateContent>
      </w:r>
      <w:r>
        <w:rPr>
          <w:rFonts w:ascii="宋体" w:hAnsi="宋体" w:eastAsia="宋体"/>
          <w:b/>
          <w:color w:val="auto"/>
          <w:spacing w:val="0"/>
          <w:w w:val="80"/>
          <w:sz w:val="36"/>
          <w:szCs w:val="36"/>
          <w:highlight w:val="none"/>
        </w:rPr>
        <w:br w:type="page"/>
      </w:r>
    </w:p>
    <w:p>
      <w:pPr>
        <w:adjustRightInd/>
        <w:spacing w:line="380" w:lineRule="exact"/>
        <w:ind w:firstLine="0"/>
        <w:textAlignment w:val="auto"/>
        <w:rPr>
          <w:rFonts w:ascii="宋体" w:hAnsi="宋体" w:eastAsia="宋体"/>
          <w:b/>
          <w:color w:val="auto"/>
          <w:spacing w:val="0"/>
          <w:w w:val="80"/>
          <w:kern w:val="2"/>
          <w:szCs w:val="24"/>
          <w:highlight w:val="none"/>
        </w:rPr>
      </w:pPr>
      <w:r>
        <w:rPr>
          <w:rFonts w:hint="eastAsia" w:ascii="宋体" w:hAnsi="宋体" w:eastAsia="宋体"/>
          <w:b/>
          <w:color w:val="auto"/>
          <w:spacing w:val="0"/>
          <w:w w:val="80"/>
          <w:kern w:val="2"/>
          <w:szCs w:val="24"/>
          <w:highlight w:val="none"/>
        </w:rPr>
        <w:t>发包人（甲方）：黑牛食品（广州）有限公司</w:t>
      </w:r>
      <w:r>
        <w:rPr>
          <w:rFonts w:ascii="宋体" w:hAnsi="宋体" w:eastAsia="宋体"/>
          <w:b/>
          <w:color w:val="auto"/>
          <w:spacing w:val="0"/>
          <w:w w:val="80"/>
          <w:kern w:val="2"/>
          <w:szCs w:val="24"/>
          <w:highlight w:val="none"/>
        </w:rPr>
        <w:t xml:space="preserve">  </w:t>
      </w:r>
      <w:r>
        <w:rPr>
          <w:rFonts w:hint="eastAsia" w:ascii="宋体" w:hAnsi="宋体" w:eastAsia="宋体"/>
          <w:b/>
          <w:color w:val="auto"/>
          <w:spacing w:val="0"/>
          <w:w w:val="80"/>
          <w:kern w:val="2"/>
          <w:szCs w:val="24"/>
          <w:highlight w:val="none"/>
        </w:rPr>
        <w:t>统一社会信用代码：91440101583366329Y</w:t>
      </w:r>
    </w:p>
    <w:p>
      <w:pPr>
        <w:adjustRightInd/>
        <w:spacing w:line="380" w:lineRule="exact"/>
        <w:ind w:firstLine="0"/>
        <w:textAlignment w:val="auto"/>
        <w:rPr>
          <w:rFonts w:ascii="宋体" w:hAnsi="宋体" w:eastAsia="宋体"/>
          <w:b/>
          <w:color w:val="auto"/>
          <w:spacing w:val="0"/>
          <w:w w:val="80"/>
          <w:kern w:val="2"/>
          <w:szCs w:val="24"/>
          <w:highlight w:val="none"/>
        </w:rPr>
      </w:pPr>
      <w:r>
        <w:rPr>
          <w:rFonts w:hint="eastAsia" w:ascii="宋体" w:hAnsi="宋体" w:eastAsia="宋体"/>
          <w:b/>
          <w:color w:val="auto"/>
          <w:spacing w:val="0"/>
          <w:w w:val="80"/>
          <w:kern w:val="2"/>
          <w:szCs w:val="24"/>
          <w:highlight w:val="none"/>
        </w:rPr>
        <w:t xml:space="preserve">承包人（乙方）：                        </w:t>
      </w:r>
      <w:r>
        <w:rPr>
          <w:rFonts w:ascii="宋体" w:hAnsi="宋体" w:eastAsia="宋体"/>
          <w:b/>
          <w:color w:val="auto"/>
          <w:spacing w:val="0"/>
          <w:w w:val="80"/>
          <w:kern w:val="2"/>
          <w:szCs w:val="24"/>
          <w:highlight w:val="none"/>
        </w:rPr>
        <w:t xml:space="preserve">  </w:t>
      </w:r>
      <w:r>
        <w:rPr>
          <w:rFonts w:hint="eastAsia" w:ascii="宋体" w:hAnsi="宋体" w:eastAsia="宋体"/>
          <w:b/>
          <w:color w:val="auto"/>
          <w:spacing w:val="0"/>
          <w:w w:val="80"/>
          <w:kern w:val="2"/>
          <w:szCs w:val="24"/>
          <w:highlight w:val="none"/>
        </w:rPr>
        <w:t>统一社会信用代码：</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根据《民法典》及国家有关法规规定，甲方委托乙方对生产基地厂房及配套用房工程（二期）水土保持提供技术咨询服务，结合本项目的具体情况，为明确责任，协作配合，确保工程质量，经甲乙双方协商一致，签订本合同，共同遵守。</w:t>
      </w:r>
    </w:p>
    <w:p>
      <w:pPr>
        <w:pStyle w:val="9"/>
        <w:numPr>
          <w:ilvl w:val="0"/>
          <w:numId w:val="1"/>
        </w:numPr>
        <w:spacing w:line="380" w:lineRule="exact"/>
        <w:ind w:firstLine="0"/>
        <w:rPr>
          <w:rFonts w:ascii="宋体" w:hAnsi="宋体" w:eastAsia="宋体"/>
          <w:b/>
          <w:color w:val="auto"/>
          <w:spacing w:val="0"/>
          <w:w w:val="80"/>
          <w:sz w:val="28"/>
          <w:szCs w:val="28"/>
          <w:highlight w:val="none"/>
        </w:rPr>
      </w:pPr>
      <w:r>
        <w:rPr>
          <w:rFonts w:hint="eastAsia" w:ascii="宋体" w:hAnsi="宋体" w:eastAsia="宋体"/>
          <w:b/>
          <w:color w:val="auto"/>
          <w:spacing w:val="0"/>
          <w:w w:val="80"/>
          <w:sz w:val="28"/>
          <w:szCs w:val="28"/>
          <w:highlight w:val="none"/>
        </w:rPr>
        <w:t>工程概况</w:t>
      </w:r>
    </w:p>
    <w:p>
      <w:pPr>
        <w:pStyle w:val="11"/>
        <w:numPr>
          <w:ilvl w:val="0"/>
          <w:numId w:val="2"/>
        </w:numPr>
        <w:adjustRightInd/>
        <w:spacing w:line="380" w:lineRule="exact"/>
        <w:ind w:firstLineChars="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项目名称：生产基地厂房及配套用房工程（二期）水土保持技术咨询服务。</w:t>
      </w:r>
    </w:p>
    <w:p>
      <w:pPr>
        <w:pStyle w:val="11"/>
        <w:numPr>
          <w:ilvl w:val="0"/>
          <w:numId w:val="2"/>
        </w:numPr>
        <w:adjustRightInd/>
        <w:spacing w:line="380" w:lineRule="exact"/>
        <w:ind w:firstLineChars="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地点：黄埔区云埔工业区方达路2号。</w:t>
      </w:r>
    </w:p>
    <w:p>
      <w:pPr>
        <w:pStyle w:val="11"/>
        <w:numPr>
          <w:ilvl w:val="0"/>
          <w:numId w:val="2"/>
        </w:numPr>
        <w:adjustRightInd/>
        <w:spacing w:line="380" w:lineRule="exact"/>
        <w:ind w:firstLineChars="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工期：本合同约定施工期限为合同签订之日起，到项目竣工验收为止。</w:t>
      </w:r>
      <w:r>
        <w:rPr>
          <w:rFonts w:hint="eastAsia" w:ascii="宋体" w:hAnsi="宋体" w:eastAsia="宋体"/>
          <w:color w:val="auto"/>
          <w:spacing w:val="0"/>
          <w:w w:val="80"/>
          <w:highlight w:val="none"/>
        </w:rPr>
        <w:t>　</w:t>
      </w:r>
    </w:p>
    <w:p>
      <w:pPr>
        <w:spacing w:line="380" w:lineRule="exact"/>
        <w:ind w:firstLine="0"/>
        <w:outlineLvl w:val="0"/>
        <w:rPr>
          <w:rFonts w:ascii="宋体" w:hAnsi="宋体" w:eastAsia="宋体"/>
          <w:color w:val="auto"/>
          <w:spacing w:val="0"/>
          <w:w w:val="80"/>
          <w:highlight w:val="none"/>
        </w:rPr>
      </w:pPr>
      <w:r>
        <w:rPr>
          <w:rFonts w:hint="eastAsia" w:ascii="宋体" w:hAnsi="宋体" w:eastAsia="宋体"/>
          <w:b/>
          <w:color w:val="auto"/>
          <w:spacing w:val="0"/>
          <w:w w:val="80"/>
          <w:szCs w:val="28"/>
          <w:highlight w:val="none"/>
        </w:rPr>
        <w:t>二、本合同依据下列文件签订：</w:t>
      </w:r>
    </w:p>
    <w:p>
      <w:pPr>
        <w:pStyle w:val="11"/>
        <w:numPr>
          <w:ilvl w:val="0"/>
          <w:numId w:val="3"/>
        </w:numPr>
        <w:adjustRightInd/>
        <w:spacing w:line="380" w:lineRule="exact"/>
        <w:ind w:firstLineChars="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《中华人民共和国民法典》</w:t>
      </w:r>
    </w:p>
    <w:p>
      <w:pPr>
        <w:pStyle w:val="11"/>
        <w:numPr>
          <w:ilvl w:val="0"/>
          <w:numId w:val="3"/>
        </w:numPr>
        <w:adjustRightInd/>
        <w:spacing w:line="380" w:lineRule="exact"/>
        <w:ind w:firstLineChars="0"/>
        <w:rPr>
          <w:rFonts w:ascii="宋体" w:hAnsi="宋体" w:eastAsia="宋体"/>
          <w:color w:val="auto"/>
          <w:spacing w:val="0"/>
          <w:w w:val="80"/>
          <w:szCs w:val="28"/>
          <w:highlight w:val="none"/>
        </w:rPr>
      </w:pPr>
      <w:r>
        <w:rPr>
          <w:rFonts w:hint="eastAsia" w:eastAsia="宋体" w:cs="宋体" w:asciiTheme="minorEastAsia" w:hAnsiTheme="minorEastAsia"/>
          <w:color w:val="auto"/>
          <w:spacing w:val="0"/>
          <w:w w:val="80"/>
          <w:szCs w:val="28"/>
          <w:highlight w:val="none"/>
        </w:rPr>
        <w:t>《中国人民共和国水土保持法》</w:t>
      </w:r>
    </w:p>
    <w:p>
      <w:pPr>
        <w:pStyle w:val="9"/>
        <w:spacing w:line="380" w:lineRule="exact"/>
        <w:ind w:firstLine="0"/>
        <w:rPr>
          <w:rFonts w:ascii="宋体" w:hAnsi="宋体" w:eastAsia="宋体"/>
          <w:b/>
          <w:color w:val="auto"/>
          <w:spacing w:val="0"/>
          <w:w w:val="80"/>
          <w:sz w:val="28"/>
          <w:szCs w:val="28"/>
          <w:highlight w:val="none"/>
        </w:rPr>
      </w:pPr>
      <w:r>
        <w:rPr>
          <w:rFonts w:hint="eastAsia" w:ascii="宋体" w:hAnsi="宋体" w:eastAsia="宋体"/>
          <w:b/>
          <w:color w:val="auto"/>
          <w:spacing w:val="0"/>
          <w:w w:val="80"/>
          <w:sz w:val="28"/>
          <w:szCs w:val="28"/>
          <w:highlight w:val="none"/>
        </w:rPr>
        <w:t>三、服务内容</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包括三个方面：（一）水土保持方案编制；（二）水土保持监测；（三）水土保持验收。具体内容如下：</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（一）水土保持方案编制</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1、乙方通过现场调查、收集资料、研究分析等，按照水利部《开发建设项目水土保持技术规范》（GB50433－2008）等技术规范要求，编制本项目的《</w:t>
      </w:r>
      <w:r>
        <w:rPr>
          <w:rFonts w:hint="eastAsia" w:ascii="宋体" w:hAnsi="宋体" w:eastAsia="宋体"/>
          <w:color w:val="auto"/>
          <w:spacing w:val="0"/>
          <w:w w:val="80"/>
          <w:szCs w:val="24"/>
          <w:highlight w:val="none"/>
        </w:rPr>
        <w:t>水土保持方案</w:t>
      </w:r>
      <w:r>
        <w:rPr>
          <w:rFonts w:hint="eastAsia" w:ascii="宋体" w:hAnsi="宋体" w:eastAsia="宋体"/>
          <w:color w:val="auto"/>
          <w:spacing w:val="0"/>
          <w:w w:val="80"/>
          <w:szCs w:val="28"/>
          <w:highlight w:val="none"/>
        </w:rPr>
        <w:t>报告书》。</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2、乙方所提交的《</w:t>
      </w:r>
      <w:r>
        <w:rPr>
          <w:rFonts w:hint="eastAsia" w:ascii="宋体" w:hAnsi="宋体" w:eastAsia="宋体"/>
          <w:color w:val="auto"/>
          <w:spacing w:val="0"/>
          <w:w w:val="80"/>
          <w:szCs w:val="24"/>
          <w:highlight w:val="none"/>
        </w:rPr>
        <w:t>水土保持方案</w:t>
      </w:r>
      <w:r>
        <w:rPr>
          <w:rFonts w:hint="eastAsia" w:ascii="宋体" w:hAnsi="宋体" w:eastAsia="宋体"/>
          <w:color w:val="auto"/>
          <w:spacing w:val="0"/>
          <w:w w:val="80"/>
          <w:szCs w:val="28"/>
          <w:highlight w:val="none"/>
        </w:rPr>
        <w:t>报告书》应满足甲方及水利行政主管部门的要求、符合本项目实际，并确保</w:t>
      </w:r>
      <w:r>
        <w:rPr>
          <w:rFonts w:hint="eastAsia" w:ascii="宋体" w:hAnsi="宋体" w:eastAsia="宋体"/>
          <w:color w:val="auto"/>
          <w:spacing w:val="0"/>
          <w:w w:val="80"/>
          <w:szCs w:val="24"/>
          <w:highlight w:val="none"/>
        </w:rPr>
        <w:t>报告书</w:t>
      </w:r>
      <w:r>
        <w:rPr>
          <w:rFonts w:hint="eastAsia" w:ascii="宋体" w:hAnsi="宋体" w:eastAsia="宋体"/>
          <w:color w:val="auto"/>
          <w:spacing w:val="0"/>
          <w:w w:val="80"/>
          <w:szCs w:val="28"/>
          <w:highlight w:val="none"/>
        </w:rPr>
        <w:t>获得评审通过。</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3、水土保持方案应对本项目建设所造成的水土流失影响作出预测和评价。并对边坡防护、取弃土场所、相关水利设施等的工程防护及生态恢复提出具体方案，按有关定额编制本项目相应的水土保持措施投资估算。</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4、本合同签订后，甲方应及时向乙方提供本项目所需相关资料（由乙方提供资料清单给予甲方进行资料收集），乙方于收到甲方提供齐全资料后</w:t>
      </w:r>
      <w:r>
        <w:rPr>
          <w:rFonts w:hint="eastAsia" w:ascii="宋体" w:hAnsi="宋体" w:eastAsia="宋体"/>
          <w:color w:val="auto"/>
          <w:spacing w:val="0"/>
          <w:w w:val="80"/>
          <w:szCs w:val="28"/>
          <w:highlight w:val="none"/>
          <w:u w:val="single"/>
        </w:rPr>
        <w:t xml:space="preserve">    </w:t>
      </w:r>
      <w:r>
        <w:rPr>
          <w:rFonts w:hint="eastAsia" w:ascii="宋体" w:hAnsi="宋体" w:eastAsia="宋体"/>
          <w:color w:val="auto"/>
          <w:spacing w:val="0"/>
          <w:w w:val="80"/>
          <w:szCs w:val="28"/>
          <w:highlight w:val="none"/>
        </w:rPr>
        <w:t>个自然日内提交</w:t>
      </w:r>
      <w:r>
        <w:rPr>
          <w:rFonts w:hint="eastAsia" w:ascii="宋体" w:hAnsi="宋体" w:eastAsia="宋体"/>
          <w:color w:val="auto"/>
          <w:spacing w:val="0"/>
          <w:w w:val="80"/>
          <w:szCs w:val="24"/>
          <w:highlight w:val="none"/>
        </w:rPr>
        <w:t>报告书</w:t>
      </w:r>
      <w:r>
        <w:rPr>
          <w:rFonts w:hint="eastAsia" w:ascii="宋体" w:hAnsi="宋体" w:eastAsia="宋体"/>
          <w:color w:val="auto"/>
          <w:spacing w:val="0"/>
          <w:w w:val="80"/>
          <w:szCs w:val="28"/>
          <w:highlight w:val="none"/>
        </w:rPr>
        <w:t>送审；乙方必须确保在技术上通过评审，并尽快取得水利行政主管部门的正式批文。</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（二）水土保持监测</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 xml:space="preserve">1、乙方按《生产建设项目水土保持监测规程》（试行）的规定以及本项目水土保持方案报告书等有关技术资料进行监测。 </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2、通过调查及收集相关资料，对本项目在施工前、施工过程中的水土保持情况进行收集、分析、汇总，包括：（1）地形、地貌和水系的变化；（2）建设项目占用地面积、扰动地表面积；（3）挖方、填方数量及面积，弃土（渣）量及堆放面积；（4）林草覆盖度 ；（5）水土流失面积；（6）水土流失量；（7）水土流失程度；（8）水土流失危害地段等。</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3、合同签订后即展开工作，按时提交 《水土保持监测总结报告》，并配合验收工作，且对提交的监测成果文件的质量负责。</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（三）水土保持验收</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1、项目竣工后，乙方负责整理、编制并提交本项目的《水土保持设施自验报告》等水保验收所需资料；</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2、积极配合甲方开展后续的工程现场检查、验收会议汇报等工作；确保甲方能够通过水利部门的水土保持验收并取得水土保持设备自主验收报备回执。</w:t>
      </w:r>
    </w:p>
    <w:p>
      <w:pPr>
        <w:adjustRightInd/>
        <w:spacing w:line="380" w:lineRule="exact"/>
        <w:ind w:firstLine="450" w:firstLineChars="200"/>
        <w:rPr>
          <w:rFonts w:ascii="宋体" w:hAnsi="宋体" w:eastAsia="宋体"/>
          <w:color w:val="auto"/>
          <w:spacing w:val="0"/>
          <w:w w:val="80"/>
          <w:szCs w:val="28"/>
          <w:highlight w:val="none"/>
        </w:rPr>
      </w:pPr>
      <w:r>
        <w:rPr>
          <w:rFonts w:hint="eastAsia" w:ascii="宋体" w:hAnsi="宋体" w:eastAsia="宋体"/>
          <w:b/>
          <w:bCs/>
          <w:color w:val="auto"/>
          <w:spacing w:val="0"/>
          <w:w w:val="80"/>
          <w:szCs w:val="28"/>
          <w:highlight w:val="none"/>
        </w:rPr>
        <w:t>四、双方责任</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1、甲方责任</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（1）向乙方提供该项目现有的有关基础资料及按照乙方书面要求提供有关技术文件。如因甲方不能按时提供有关技术文件，造成乙方不能如期提交文件，则不视为乙方违约。</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（2）协调水利行政主管部门组织召开成果评审会议。</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（3）按时向乙方支付合同款。</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（4）定期检查乙方工作开展情况，并对乙方具体工作的执行情况进行检查监督。</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2、 乙方责任</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（1）按照规范要求编制报告书（包括根据审查意见的补充修改工作），并对编制质量负责，以获得水利行政主管部门审批通过为准。</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（2）应与各相关工作方积极沟通、协调，在本合同执行过程中应与甲方进行充分协商，重大问题及时向甲方汇报，充分尊重甲方意见。</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（3）按合同规定的时间向甲方提交满足评审要求的文字成果一式二份，电子文档成果光盘一份及评审意见原件。</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4）全面组织完成水利主管部门对本项目的审批，在成果评审会上负责解答会议提出的问题，负责评审及相关费用。在主管部门对本项目水土保持方案进行技术审查时，乙方应负责技术答辩及必要的文件修改工作，直至完成水利部门备案并取得回执。</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（5）乙方未能及时提交成果或提交的成果不符合质量要求，造成延期或须返工重做，所耗费用由乙方自理，并承担相关违约责任。</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（6）项目开工并接受甲方委托后，乙方立即开展水土保持监测工作，按时提交监测报表和监测报告。</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（7）项目竣工后，乙方及时提交本项目的《水土保持设施自验报告》，对提交的成果质量负责，并负责办理相关备案手续。</w:t>
      </w:r>
    </w:p>
    <w:p>
      <w:pPr>
        <w:adjustRightInd/>
        <w:spacing w:line="380" w:lineRule="exact"/>
        <w:ind w:firstLine="450" w:firstLineChars="200"/>
        <w:rPr>
          <w:rFonts w:ascii="宋体" w:hAnsi="宋体" w:eastAsia="宋体"/>
          <w:b/>
          <w:bCs/>
          <w:color w:val="auto"/>
          <w:spacing w:val="0"/>
          <w:w w:val="80"/>
          <w:szCs w:val="28"/>
          <w:highlight w:val="none"/>
        </w:rPr>
      </w:pPr>
      <w:r>
        <w:rPr>
          <w:rFonts w:hint="eastAsia" w:ascii="宋体" w:hAnsi="宋体" w:eastAsia="宋体"/>
          <w:b/>
          <w:bCs/>
          <w:color w:val="auto"/>
          <w:spacing w:val="0"/>
          <w:w w:val="80"/>
          <w:szCs w:val="28"/>
          <w:highlight w:val="none"/>
        </w:rPr>
        <w:t>五、验收标准和方式</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水土保持方案报告书按有关技术规范标准，采用评审方式验收，乙方需保证报告书满足评估要求，以取得水利行政主管部门的批文为准。最终成果归甲方所有。</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水土保持监测报告要求每季度提交监测报表，并报送到黄埔区水务局，项目竣工后，提交最终的监测报告。</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水土保持设施验收报告要按照相关规范编制，并符合项目实际。</w:t>
      </w:r>
    </w:p>
    <w:p>
      <w:pPr>
        <w:adjustRightInd/>
        <w:spacing w:line="380" w:lineRule="exact"/>
        <w:ind w:firstLine="450" w:firstLineChars="200"/>
        <w:rPr>
          <w:rFonts w:ascii="宋体" w:hAnsi="宋体" w:eastAsia="宋体"/>
          <w:color w:val="auto"/>
          <w:spacing w:val="0"/>
          <w:w w:val="80"/>
          <w:szCs w:val="28"/>
          <w:highlight w:val="none"/>
        </w:rPr>
      </w:pPr>
      <w:r>
        <w:rPr>
          <w:rFonts w:hint="eastAsia" w:ascii="宋体" w:hAnsi="宋体" w:eastAsia="宋体"/>
          <w:b/>
          <w:bCs/>
          <w:color w:val="auto"/>
          <w:spacing w:val="0"/>
          <w:w w:val="80"/>
          <w:szCs w:val="28"/>
          <w:highlight w:val="none"/>
        </w:rPr>
        <w:t>六、合同价款及付款方式：</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1、本合同包干含税总价：人民币</w:t>
      </w:r>
      <w:r>
        <w:rPr>
          <w:rFonts w:hint="eastAsia" w:ascii="宋体" w:hAnsi="宋体" w:eastAsia="宋体"/>
          <w:color w:val="auto"/>
          <w:spacing w:val="0"/>
          <w:w w:val="80"/>
          <w:szCs w:val="28"/>
          <w:highlight w:val="none"/>
          <w:u w:val="single"/>
        </w:rPr>
        <w:t xml:space="preserve">   </w:t>
      </w:r>
      <w:r>
        <w:rPr>
          <w:rFonts w:ascii="宋体" w:hAnsi="宋体" w:eastAsia="宋体"/>
          <w:color w:val="auto"/>
          <w:spacing w:val="0"/>
          <w:w w:val="80"/>
          <w:szCs w:val="28"/>
          <w:highlight w:val="none"/>
          <w:u w:val="single"/>
        </w:rPr>
        <w:t xml:space="preserve">        </w:t>
      </w:r>
      <w:r>
        <w:rPr>
          <w:rFonts w:hint="eastAsia" w:ascii="宋体" w:hAnsi="宋体" w:eastAsia="宋体"/>
          <w:color w:val="auto"/>
          <w:spacing w:val="0"/>
          <w:w w:val="80"/>
          <w:szCs w:val="28"/>
          <w:highlight w:val="none"/>
          <w:u w:val="single"/>
        </w:rPr>
        <w:t xml:space="preserve">   </w:t>
      </w:r>
      <w:r>
        <w:rPr>
          <w:rFonts w:hint="eastAsia" w:ascii="宋体" w:hAnsi="宋体" w:eastAsia="宋体"/>
          <w:color w:val="auto"/>
          <w:spacing w:val="0"/>
          <w:w w:val="80"/>
          <w:szCs w:val="28"/>
          <w:highlight w:val="none"/>
        </w:rPr>
        <w:t>元（¥</w:t>
      </w:r>
      <w:r>
        <w:rPr>
          <w:rFonts w:hint="eastAsia" w:ascii="宋体" w:hAnsi="宋体" w:eastAsia="宋体"/>
          <w:color w:val="auto"/>
          <w:spacing w:val="0"/>
          <w:w w:val="80"/>
          <w:szCs w:val="28"/>
          <w:highlight w:val="none"/>
          <w:u w:val="single"/>
        </w:rPr>
        <w:t xml:space="preserve">     </w:t>
      </w:r>
      <w:r>
        <w:rPr>
          <w:rFonts w:hint="eastAsia" w:ascii="宋体" w:hAnsi="宋体" w:eastAsia="宋体"/>
          <w:color w:val="auto"/>
          <w:spacing w:val="0"/>
          <w:w w:val="80"/>
          <w:szCs w:val="28"/>
          <w:highlight w:val="none"/>
        </w:rPr>
        <w:t>），其中，不含税金额为人民币</w:t>
      </w:r>
      <w:r>
        <w:rPr>
          <w:rFonts w:hint="eastAsia" w:ascii="宋体" w:hAnsi="宋体" w:eastAsia="宋体"/>
          <w:color w:val="auto"/>
          <w:spacing w:val="0"/>
          <w:w w:val="80"/>
          <w:szCs w:val="28"/>
          <w:highlight w:val="none"/>
          <w:u w:val="single"/>
        </w:rPr>
        <w:t xml:space="preserve">  </w:t>
      </w:r>
      <w:r>
        <w:rPr>
          <w:rFonts w:ascii="宋体" w:hAnsi="宋体" w:eastAsia="宋体"/>
          <w:color w:val="auto"/>
          <w:spacing w:val="0"/>
          <w:w w:val="80"/>
          <w:szCs w:val="28"/>
          <w:highlight w:val="none"/>
          <w:u w:val="single"/>
        </w:rPr>
        <w:t xml:space="preserve">    </w:t>
      </w:r>
      <w:r>
        <w:rPr>
          <w:rFonts w:hint="eastAsia" w:ascii="宋体" w:hAnsi="宋体" w:eastAsia="宋体"/>
          <w:color w:val="auto"/>
          <w:spacing w:val="0"/>
          <w:w w:val="80"/>
          <w:szCs w:val="28"/>
          <w:highlight w:val="none"/>
          <w:u w:val="single"/>
        </w:rPr>
        <w:t xml:space="preserve">    </w:t>
      </w:r>
      <w:r>
        <w:rPr>
          <w:rFonts w:hint="eastAsia" w:ascii="宋体" w:hAnsi="宋体" w:eastAsia="宋体"/>
          <w:color w:val="auto"/>
          <w:spacing w:val="0"/>
          <w:w w:val="80"/>
          <w:szCs w:val="28"/>
          <w:highlight w:val="none"/>
        </w:rPr>
        <w:t>元（¥</w:t>
      </w:r>
      <w:r>
        <w:rPr>
          <w:rFonts w:hint="eastAsia" w:ascii="宋体" w:hAnsi="宋体" w:eastAsia="宋体"/>
          <w:color w:val="auto"/>
          <w:spacing w:val="0"/>
          <w:w w:val="80"/>
          <w:szCs w:val="28"/>
          <w:highlight w:val="none"/>
          <w:u w:val="single"/>
        </w:rPr>
        <w:t xml:space="preserve">     </w:t>
      </w:r>
      <w:r>
        <w:rPr>
          <w:rFonts w:hint="eastAsia" w:ascii="宋体" w:hAnsi="宋体" w:eastAsia="宋体"/>
          <w:color w:val="auto"/>
          <w:spacing w:val="0"/>
          <w:w w:val="80"/>
          <w:szCs w:val="28"/>
          <w:highlight w:val="none"/>
        </w:rPr>
        <w:t>），增值税额为人民币</w:t>
      </w:r>
      <w:r>
        <w:rPr>
          <w:rFonts w:hint="eastAsia" w:ascii="宋体" w:hAnsi="宋体" w:eastAsia="宋体"/>
          <w:color w:val="auto"/>
          <w:spacing w:val="0"/>
          <w:w w:val="80"/>
          <w:szCs w:val="28"/>
          <w:highlight w:val="none"/>
          <w:u w:val="single"/>
        </w:rPr>
        <w:t xml:space="preserve">      </w:t>
      </w:r>
      <w:r>
        <w:rPr>
          <w:rFonts w:hint="eastAsia" w:ascii="宋体" w:hAnsi="宋体" w:eastAsia="宋体"/>
          <w:color w:val="auto"/>
          <w:spacing w:val="0"/>
          <w:w w:val="80"/>
          <w:szCs w:val="28"/>
          <w:highlight w:val="none"/>
        </w:rPr>
        <w:t>元（¥</w:t>
      </w:r>
      <w:r>
        <w:rPr>
          <w:rFonts w:hint="eastAsia" w:ascii="宋体" w:hAnsi="宋体" w:eastAsia="宋体"/>
          <w:color w:val="auto"/>
          <w:spacing w:val="0"/>
          <w:w w:val="80"/>
          <w:szCs w:val="28"/>
          <w:highlight w:val="none"/>
          <w:u w:val="single"/>
        </w:rPr>
        <w:t xml:space="preserve">     </w:t>
      </w:r>
      <w:r>
        <w:rPr>
          <w:rFonts w:hint="eastAsia" w:ascii="宋体" w:hAnsi="宋体" w:eastAsia="宋体"/>
          <w:color w:val="auto"/>
          <w:spacing w:val="0"/>
          <w:w w:val="80"/>
          <w:szCs w:val="28"/>
          <w:highlight w:val="none"/>
        </w:rPr>
        <w:t>）。此包干总价为乙方完成本合同约定工作内容的所有费用，期间不得再产生任何费用。</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2、支付方式：</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（1）甲方每次收到乙方提供的等额增值税专用发票及相关资料后，经确认无异议的，按指定时间付款。若乙方未提交或提交资料不符合约定的，甲方有权暂停支付，不构成违约。具体支付方式见下表：</w:t>
      </w:r>
    </w:p>
    <w:tbl>
      <w:tblPr>
        <w:tblStyle w:val="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1985"/>
        <w:gridCol w:w="2068"/>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adjustRightInd/>
              <w:spacing w:line="380" w:lineRule="exact"/>
              <w:ind w:firstLine="0"/>
              <w:jc w:val="center"/>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付款阶段</w:t>
            </w:r>
          </w:p>
        </w:tc>
        <w:tc>
          <w:tcPr>
            <w:tcW w:w="850" w:type="dxa"/>
            <w:vAlign w:val="center"/>
          </w:tcPr>
          <w:p>
            <w:pPr>
              <w:adjustRightInd/>
              <w:spacing w:line="380" w:lineRule="exact"/>
              <w:ind w:firstLine="0"/>
              <w:jc w:val="center"/>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付款比例</w:t>
            </w:r>
          </w:p>
        </w:tc>
        <w:tc>
          <w:tcPr>
            <w:tcW w:w="1985" w:type="dxa"/>
            <w:vAlign w:val="center"/>
          </w:tcPr>
          <w:p>
            <w:pPr>
              <w:adjustRightInd/>
              <w:spacing w:line="380" w:lineRule="exact"/>
              <w:ind w:firstLine="0"/>
              <w:jc w:val="center"/>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费用组成</w:t>
            </w:r>
          </w:p>
        </w:tc>
        <w:tc>
          <w:tcPr>
            <w:tcW w:w="2068" w:type="dxa"/>
            <w:vAlign w:val="center"/>
          </w:tcPr>
          <w:p>
            <w:pPr>
              <w:adjustRightInd/>
              <w:spacing w:line="380" w:lineRule="exact"/>
              <w:ind w:firstLine="0"/>
              <w:jc w:val="center"/>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付款金额</w:t>
            </w:r>
          </w:p>
          <w:p>
            <w:pPr>
              <w:adjustRightInd/>
              <w:spacing w:line="380" w:lineRule="exact"/>
              <w:ind w:firstLine="0"/>
              <w:jc w:val="center"/>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（单位：元）</w:t>
            </w:r>
          </w:p>
        </w:tc>
        <w:tc>
          <w:tcPr>
            <w:tcW w:w="3035" w:type="dxa"/>
            <w:vAlign w:val="center"/>
          </w:tcPr>
          <w:p>
            <w:pPr>
              <w:adjustRightInd/>
              <w:spacing w:line="380" w:lineRule="exact"/>
              <w:ind w:firstLine="0"/>
              <w:jc w:val="center"/>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付款条件和时间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46" w:type="dxa"/>
            <w:vAlign w:val="center"/>
          </w:tcPr>
          <w:p>
            <w:pPr>
              <w:adjustRightInd/>
              <w:spacing w:line="380" w:lineRule="exact"/>
              <w:ind w:firstLine="0"/>
              <w:jc w:val="distribute"/>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第一阶 段</w:t>
            </w:r>
          </w:p>
        </w:tc>
        <w:tc>
          <w:tcPr>
            <w:tcW w:w="850" w:type="dxa"/>
            <w:vAlign w:val="center"/>
          </w:tcPr>
          <w:p>
            <w:pPr>
              <w:adjustRightInd/>
              <w:spacing w:line="380" w:lineRule="exact"/>
              <w:ind w:firstLine="0"/>
              <w:jc w:val="center"/>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20%</w:t>
            </w:r>
          </w:p>
        </w:tc>
        <w:tc>
          <w:tcPr>
            <w:tcW w:w="1985" w:type="dxa"/>
            <w:vAlign w:val="center"/>
          </w:tcPr>
          <w:p>
            <w:pPr>
              <w:adjustRightInd/>
              <w:spacing w:line="380" w:lineRule="exact"/>
              <w:ind w:firstLine="0"/>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定金，含水土保持方案编制费</w:t>
            </w:r>
          </w:p>
        </w:tc>
        <w:tc>
          <w:tcPr>
            <w:tcW w:w="2068" w:type="dxa"/>
            <w:vAlign w:val="center"/>
          </w:tcPr>
          <w:p>
            <w:pPr>
              <w:adjustRightInd/>
              <w:spacing w:line="380" w:lineRule="exact"/>
              <w:ind w:firstLine="448" w:firstLineChars="200"/>
              <w:rPr>
                <w:rFonts w:ascii="宋体" w:hAnsi="宋体" w:eastAsia="宋体"/>
                <w:color w:val="auto"/>
                <w:spacing w:val="0"/>
                <w:w w:val="80"/>
                <w:szCs w:val="24"/>
                <w:highlight w:val="none"/>
              </w:rPr>
            </w:pPr>
          </w:p>
        </w:tc>
        <w:tc>
          <w:tcPr>
            <w:tcW w:w="3035" w:type="dxa"/>
            <w:vAlign w:val="center"/>
          </w:tcPr>
          <w:p>
            <w:pPr>
              <w:adjustRightInd/>
              <w:spacing w:line="380" w:lineRule="exact"/>
              <w:ind w:firstLine="0"/>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合同签订后14个工作日内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adjustRightInd/>
              <w:spacing w:line="380" w:lineRule="exact"/>
              <w:ind w:firstLine="0"/>
              <w:jc w:val="distribute"/>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第二阶 段</w:t>
            </w:r>
          </w:p>
        </w:tc>
        <w:tc>
          <w:tcPr>
            <w:tcW w:w="850" w:type="dxa"/>
            <w:vAlign w:val="center"/>
          </w:tcPr>
          <w:p>
            <w:pPr>
              <w:adjustRightInd/>
              <w:spacing w:line="380" w:lineRule="exact"/>
              <w:ind w:firstLine="0"/>
              <w:jc w:val="center"/>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40%</w:t>
            </w:r>
          </w:p>
        </w:tc>
        <w:tc>
          <w:tcPr>
            <w:tcW w:w="1985" w:type="dxa"/>
            <w:vAlign w:val="center"/>
          </w:tcPr>
          <w:p>
            <w:pPr>
              <w:adjustRightInd/>
              <w:spacing w:line="380" w:lineRule="exact"/>
              <w:ind w:firstLine="0"/>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含水土保持方案编制费及水土保持监测费</w:t>
            </w:r>
          </w:p>
        </w:tc>
        <w:tc>
          <w:tcPr>
            <w:tcW w:w="2068" w:type="dxa"/>
            <w:vAlign w:val="center"/>
          </w:tcPr>
          <w:p>
            <w:pPr>
              <w:adjustRightInd/>
              <w:spacing w:line="380" w:lineRule="exact"/>
              <w:ind w:firstLine="448" w:firstLineChars="200"/>
              <w:rPr>
                <w:rFonts w:ascii="宋体" w:hAnsi="宋体" w:eastAsia="宋体"/>
                <w:color w:val="auto"/>
                <w:spacing w:val="0"/>
                <w:w w:val="80"/>
                <w:szCs w:val="24"/>
                <w:highlight w:val="none"/>
              </w:rPr>
            </w:pPr>
          </w:p>
        </w:tc>
        <w:tc>
          <w:tcPr>
            <w:tcW w:w="3035" w:type="dxa"/>
            <w:vAlign w:val="center"/>
          </w:tcPr>
          <w:p>
            <w:pPr>
              <w:adjustRightInd/>
              <w:spacing w:line="380" w:lineRule="exact"/>
              <w:ind w:firstLine="0"/>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甲方在水土保持方案获得审批通过并收到批文后14个工作日内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adjustRightInd/>
              <w:spacing w:line="380" w:lineRule="exact"/>
              <w:ind w:firstLine="0"/>
              <w:jc w:val="distribute"/>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第三阶 段</w:t>
            </w:r>
          </w:p>
        </w:tc>
        <w:tc>
          <w:tcPr>
            <w:tcW w:w="850" w:type="dxa"/>
            <w:vAlign w:val="center"/>
          </w:tcPr>
          <w:p>
            <w:pPr>
              <w:adjustRightInd/>
              <w:spacing w:line="380" w:lineRule="exact"/>
              <w:ind w:firstLine="0"/>
              <w:jc w:val="center"/>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40%</w:t>
            </w:r>
          </w:p>
        </w:tc>
        <w:tc>
          <w:tcPr>
            <w:tcW w:w="1985" w:type="dxa"/>
            <w:vAlign w:val="center"/>
          </w:tcPr>
          <w:p>
            <w:pPr>
              <w:adjustRightInd/>
              <w:spacing w:line="380" w:lineRule="exact"/>
              <w:ind w:firstLine="0"/>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含水土保持监测费及水行政主管部门验收备案</w:t>
            </w:r>
          </w:p>
        </w:tc>
        <w:tc>
          <w:tcPr>
            <w:tcW w:w="2068" w:type="dxa"/>
            <w:vAlign w:val="center"/>
          </w:tcPr>
          <w:p>
            <w:pPr>
              <w:adjustRightInd/>
              <w:spacing w:line="380" w:lineRule="exact"/>
              <w:ind w:firstLine="448" w:firstLineChars="200"/>
              <w:rPr>
                <w:rFonts w:ascii="宋体" w:hAnsi="宋体" w:eastAsia="宋体"/>
                <w:color w:val="auto"/>
                <w:spacing w:val="0"/>
                <w:w w:val="80"/>
                <w:szCs w:val="24"/>
                <w:highlight w:val="none"/>
              </w:rPr>
            </w:pPr>
          </w:p>
        </w:tc>
        <w:tc>
          <w:tcPr>
            <w:tcW w:w="3035" w:type="dxa"/>
            <w:vAlign w:val="center"/>
          </w:tcPr>
          <w:p>
            <w:pPr>
              <w:adjustRightInd/>
              <w:spacing w:line="380" w:lineRule="exact"/>
              <w:ind w:firstLine="0"/>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乙方完成所有监测工作，提交本项目监测总结报告，完成验收备案并取得回执后14个工作日内</w:t>
            </w:r>
          </w:p>
        </w:tc>
      </w:tr>
    </w:tbl>
    <w:p>
      <w:pPr>
        <w:adjustRightInd/>
        <w:spacing w:line="380" w:lineRule="exact"/>
        <w:ind w:firstLine="224" w:firstLineChars="1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（2）双方指定收付款账号信息如下：</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a.甲方发票信息：</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户名：黑牛食品（广州）有限公司</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开户行：上海浦东发展银行股份有限公司广州开发区支行</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账号：82210154740001733</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地址和电话：广州市黄埔区云埔工业区埔北路1号自编3号首层110房 020-66883333</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 xml:space="preserve">纳税人识别码：91440101583366329Y </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b.乙方指定收款账号信息：</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户名：</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开户银行：</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账号：</w:t>
      </w:r>
    </w:p>
    <w:p>
      <w:pPr>
        <w:adjustRightInd/>
        <w:spacing w:line="380" w:lineRule="exact"/>
        <w:ind w:firstLine="450" w:firstLineChars="200"/>
        <w:rPr>
          <w:rFonts w:ascii="宋体" w:hAnsi="宋体" w:eastAsia="宋体"/>
          <w:b/>
          <w:bCs/>
          <w:color w:val="auto"/>
          <w:spacing w:val="0"/>
          <w:w w:val="80"/>
          <w:szCs w:val="28"/>
          <w:highlight w:val="none"/>
        </w:rPr>
      </w:pPr>
      <w:r>
        <w:rPr>
          <w:rFonts w:hint="eastAsia" w:ascii="宋体" w:hAnsi="宋体" w:eastAsia="宋体"/>
          <w:b/>
          <w:bCs/>
          <w:color w:val="auto"/>
          <w:spacing w:val="0"/>
          <w:w w:val="80"/>
          <w:szCs w:val="28"/>
          <w:highlight w:val="none"/>
        </w:rPr>
        <w:t>七、双方保密义务及知识产权约定：</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双方应对本合同协议书执行过程中产生的涉及机密的文件、成果资料进行保密，未经对方同意，任何一方均不得将涉及机密的文件、成果资料泄密，不得向第三人转让或用于本合同以外的项目。</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乙方对提交的技术报告拥有知识产权，甲方有权使用和复制其中的有关内容。</w:t>
      </w:r>
    </w:p>
    <w:p>
      <w:pPr>
        <w:adjustRightInd/>
        <w:spacing w:line="380" w:lineRule="exact"/>
        <w:ind w:firstLine="450" w:firstLineChars="200"/>
        <w:rPr>
          <w:rFonts w:ascii="宋体" w:hAnsi="宋体" w:eastAsia="宋体"/>
          <w:b/>
          <w:bCs/>
          <w:color w:val="auto"/>
          <w:spacing w:val="0"/>
          <w:w w:val="80"/>
          <w:szCs w:val="28"/>
          <w:highlight w:val="none"/>
        </w:rPr>
      </w:pPr>
      <w:r>
        <w:rPr>
          <w:rFonts w:hint="eastAsia" w:ascii="宋体" w:hAnsi="宋体" w:eastAsia="宋体"/>
          <w:b/>
          <w:bCs/>
          <w:color w:val="auto"/>
          <w:spacing w:val="0"/>
          <w:w w:val="80"/>
          <w:szCs w:val="28"/>
          <w:highlight w:val="none"/>
        </w:rPr>
        <w:t>八、违约责任：</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1、若违反本合同第一条“合同内容”、第二条“双方责任”及第三条“验收标准及方式”的任一约定，乙方应承担违约责任。若因乙方原因造成工作计划的延期，每拖延一天按总价的万分之一/日支付违约金。若逾期超过30天的，甲方有权解除合同，并要求乙方承担本合同总金额的2</w:t>
      </w:r>
      <w:r>
        <w:rPr>
          <w:rFonts w:ascii="宋体" w:hAnsi="宋体" w:eastAsia="宋体"/>
          <w:color w:val="auto"/>
          <w:spacing w:val="0"/>
          <w:w w:val="80"/>
          <w:szCs w:val="28"/>
          <w:highlight w:val="none"/>
        </w:rPr>
        <w:t>0</w:t>
      </w:r>
      <w:r>
        <w:rPr>
          <w:rFonts w:hint="eastAsia" w:ascii="宋体" w:hAnsi="宋体" w:eastAsia="宋体"/>
          <w:color w:val="auto"/>
          <w:spacing w:val="0"/>
          <w:w w:val="80"/>
          <w:szCs w:val="28"/>
          <w:highlight w:val="none"/>
        </w:rPr>
        <w:t>%作为违约金。</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2、若甲方无正当理由未按合同约定支付费用，经乙方书面督促后仍未支付的，则每拖延一天按应付未付款的万分之一支付违约金。</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3、任何一方无故解除合同，违约方须向守约方支付本合同总金额的2</w:t>
      </w:r>
      <w:r>
        <w:rPr>
          <w:rFonts w:ascii="宋体" w:hAnsi="宋体" w:eastAsia="宋体"/>
          <w:color w:val="auto"/>
          <w:spacing w:val="0"/>
          <w:w w:val="80"/>
          <w:szCs w:val="28"/>
          <w:highlight w:val="none"/>
        </w:rPr>
        <w:t>0</w:t>
      </w:r>
      <w:r>
        <w:rPr>
          <w:rFonts w:hint="eastAsia" w:ascii="宋体" w:hAnsi="宋体" w:eastAsia="宋体"/>
          <w:color w:val="auto"/>
          <w:spacing w:val="0"/>
          <w:w w:val="80"/>
          <w:szCs w:val="28"/>
          <w:highlight w:val="none"/>
        </w:rPr>
        <w:t>%作为违约金，在合同解除之日起5个工作日内付清。如乙方单方无故解除合同，乙方除了向甲方支付违约金外，还需要退还甲方已支付的全部费用。</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4、由于乙方原因造成设计文件质量低劣或不符合相关行政部门要求的文件，乙方负责完善或返工或整改直至达到当地主管部门认可为止，乙方经3次修改仍不被认可的，甲方有权解除合同，要求乙方承担本合同总金额的2</w:t>
      </w:r>
      <w:r>
        <w:rPr>
          <w:rFonts w:ascii="宋体" w:hAnsi="宋体" w:eastAsia="宋体"/>
          <w:color w:val="auto"/>
          <w:spacing w:val="0"/>
          <w:w w:val="80"/>
          <w:szCs w:val="28"/>
          <w:highlight w:val="none"/>
        </w:rPr>
        <w:t>0</w:t>
      </w:r>
      <w:r>
        <w:rPr>
          <w:rFonts w:hint="eastAsia" w:ascii="宋体" w:hAnsi="宋体" w:eastAsia="宋体"/>
          <w:color w:val="auto"/>
          <w:spacing w:val="0"/>
          <w:w w:val="80"/>
          <w:szCs w:val="28"/>
          <w:highlight w:val="none"/>
        </w:rPr>
        <w:t>%作为违约金。</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5、由于人力所不能抗拒的自然灾害而造成的工作延误不属于违约范围。</w:t>
      </w:r>
    </w:p>
    <w:p>
      <w:pPr>
        <w:adjustRightInd/>
        <w:spacing w:line="380" w:lineRule="exact"/>
        <w:ind w:firstLine="450" w:firstLineChars="200"/>
        <w:rPr>
          <w:rFonts w:ascii="宋体" w:hAnsi="宋体" w:eastAsia="宋体"/>
          <w:b/>
          <w:bCs/>
          <w:color w:val="auto"/>
          <w:spacing w:val="0"/>
          <w:w w:val="80"/>
          <w:szCs w:val="28"/>
          <w:highlight w:val="none"/>
        </w:rPr>
      </w:pPr>
      <w:r>
        <w:rPr>
          <w:rFonts w:hint="eastAsia" w:ascii="宋体" w:hAnsi="宋体" w:eastAsia="宋体"/>
          <w:b/>
          <w:bCs/>
          <w:color w:val="auto"/>
          <w:spacing w:val="0"/>
          <w:w w:val="80"/>
          <w:szCs w:val="28"/>
          <w:highlight w:val="none"/>
        </w:rPr>
        <w:t>九、争议和解决方法：</w:t>
      </w:r>
    </w:p>
    <w:p>
      <w:pPr>
        <w:adjustRightInd/>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在合同履行过程中发生争议，双方应当协商解决。协商不成的，任一方均可向本项目履行地（广州黄埔区）所在地法院提起诉讼。</w:t>
      </w:r>
    </w:p>
    <w:p>
      <w:pPr>
        <w:adjustRightInd/>
        <w:spacing w:line="380" w:lineRule="exact"/>
        <w:ind w:firstLine="450" w:firstLineChars="200"/>
        <w:rPr>
          <w:rFonts w:ascii="宋体" w:hAnsi="宋体" w:eastAsia="宋体"/>
          <w:b/>
          <w:bCs/>
          <w:color w:val="auto"/>
          <w:spacing w:val="0"/>
          <w:w w:val="80"/>
          <w:szCs w:val="28"/>
          <w:highlight w:val="none"/>
        </w:rPr>
      </w:pPr>
      <w:r>
        <w:rPr>
          <w:rFonts w:hint="eastAsia" w:ascii="宋体" w:hAnsi="宋体" w:eastAsia="宋体"/>
          <w:b/>
          <w:bCs/>
          <w:color w:val="auto"/>
          <w:spacing w:val="0"/>
          <w:w w:val="80"/>
          <w:szCs w:val="28"/>
          <w:highlight w:val="none"/>
        </w:rPr>
        <w:t>十、其它</w:t>
      </w:r>
    </w:p>
    <w:p>
      <w:pPr>
        <w:pStyle w:val="11"/>
        <w:numPr>
          <w:ilvl w:val="0"/>
          <w:numId w:val="4"/>
        </w:numPr>
        <w:adjustRightInd/>
        <w:spacing w:line="380" w:lineRule="exact"/>
        <w:ind w:left="0" w:firstLine="446" w:firstLineChars="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本合同未尽事宜，由双方协商解决，另行签署书面协议。</w:t>
      </w:r>
    </w:p>
    <w:p>
      <w:pPr>
        <w:pStyle w:val="11"/>
        <w:numPr>
          <w:ilvl w:val="0"/>
          <w:numId w:val="4"/>
        </w:numPr>
        <w:adjustRightInd/>
        <w:spacing w:line="380" w:lineRule="exact"/>
        <w:ind w:left="0" w:firstLine="446" w:firstLineChars="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本合同正本一式陆份，甲乙双方各执叁份，均具有同等法律效力；自双方法定代表人或授权代表签名并盖章之日起生效。</w:t>
      </w:r>
    </w:p>
    <w:p>
      <w:pPr>
        <w:pStyle w:val="11"/>
        <w:numPr>
          <w:ilvl w:val="0"/>
          <w:numId w:val="4"/>
        </w:numPr>
        <w:adjustRightInd/>
        <w:spacing w:line="380" w:lineRule="exact"/>
        <w:ind w:left="0" w:firstLine="446" w:firstLineChars="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双方指定联系方式如下，双方通过指定联系方式往来的文件、资料等，为本合同不可分割的组成部分。一方当事人可采用直接告知、邮寄、电子邮件或者其他合法方式通知对方当事人。本合同约定通讯地址，为①双方在非诉时传送各类通知、协议、资料，以及处理履约纠纷时，需送达的各文件和法律文书。②及争议进入民事诉讼程序后的一审、二审、再审和执行程序的送达。任一方联系方式发生变动，须提前三天书面告知对方，否则引起送达不到的法律责任由变动方自行承担。</w:t>
      </w:r>
    </w:p>
    <w:tbl>
      <w:tblPr>
        <w:tblStyle w:val="7"/>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560"/>
        <w:gridCol w:w="1984"/>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80" w:lineRule="exact"/>
              <w:ind w:firstLine="448" w:firstLineChars="200"/>
              <w:rPr>
                <w:rFonts w:ascii="宋体" w:hAnsi="宋体" w:eastAsia="宋体"/>
                <w:color w:val="auto"/>
                <w:spacing w:val="0"/>
                <w:w w:val="80"/>
                <w:szCs w:val="28"/>
                <w:highlight w:val="none"/>
              </w:rPr>
            </w:pPr>
          </w:p>
        </w:tc>
        <w:tc>
          <w:tcPr>
            <w:tcW w:w="992" w:type="dxa"/>
          </w:tcPr>
          <w:p>
            <w:pPr>
              <w:spacing w:line="380" w:lineRule="exact"/>
              <w:ind w:firstLine="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联系人</w:t>
            </w:r>
          </w:p>
        </w:tc>
        <w:tc>
          <w:tcPr>
            <w:tcW w:w="1560" w:type="dxa"/>
          </w:tcPr>
          <w:p>
            <w:pPr>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电话</w:t>
            </w:r>
          </w:p>
        </w:tc>
        <w:tc>
          <w:tcPr>
            <w:tcW w:w="1984" w:type="dxa"/>
          </w:tcPr>
          <w:p>
            <w:pPr>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邮箱</w:t>
            </w:r>
          </w:p>
        </w:tc>
        <w:tc>
          <w:tcPr>
            <w:tcW w:w="3708" w:type="dxa"/>
          </w:tcPr>
          <w:p>
            <w:pPr>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4" w:type="dxa"/>
          </w:tcPr>
          <w:p>
            <w:pPr>
              <w:spacing w:line="380" w:lineRule="exact"/>
              <w:ind w:firstLine="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甲方</w:t>
            </w:r>
          </w:p>
        </w:tc>
        <w:tc>
          <w:tcPr>
            <w:tcW w:w="992" w:type="dxa"/>
          </w:tcPr>
          <w:p>
            <w:pPr>
              <w:spacing w:line="380" w:lineRule="exact"/>
              <w:ind w:firstLine="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曾金标</w:t>
            </w:r>
          </w:p>
        </w:tc>
        <w:tc>
          <w:tcPr>
            <w:tcW w:w="1560" w:type="dxa"/>
          </w:tcPr>
          <w:p>
            <w:pPr>
              <w:spacing w:line="380" w:lineRule="exact"/>
              <w:ind w:firstLine="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13556350978</w:t>
            </w:r>
          </w:p>
        </w:tc>
        <w:tc>
          <w:tcPr>
            <w:tcW w:w="1984" w:type="dxa"/>
          </w:tcPr>
          <w:p>
            <w:pPr>
              <w:spacing w:line="380" w:lineRule="exact"/>
              <w:ind w:firstLine="448" w:firstLineChars="200"/>
              <w:rPr>
                <w:rFonts w:ascii="宋体" w:hAnsi="宋体" w:eastAsia="宋体"/>
                <w:color w:val="auto"/>
                <w:spacing w:val="0"/>
                <w:w w:val="80"/>
                <w:szCs w:val="28"/>
                <w:highlight w:val="none"/>
              </w:rPr>
            </w:pPr>
          </w:p>
        </w:tc>
        <w:tc>
          <w:tcPr>
            <w:tcW w:w="3708" w:type="dxa"/>
          </w:tcPr>
          <w:p>
            <w:pPr>
              <w:spacing w:line="380" w:lineRule="exact"/>
              <w:ind w:firstLine="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lang w:val="zh-CN"/>
              </w:rPr>
              <w:t>广州市天河区林和</w:t>
            </w:r>
            <w:r>
              <w:rPr>
                <w:rFonts w:hint="eastAsia" w:ascii="宋体" w:hAnsi="宋体" w:eastAsia="宋体"/>
                <w:color w:val="auto"/>
                <w:spacing w:val="0"/>
                <w:w w:val="80"/>
                <w:szCs w:val="28"/>
                <w:highlight w:val="none"/>
              </w:rPr>
              <w:t>西</w:t>
            </w:r>
            <w:r>
              <w:rPr>
                <w:rFonts w:hint="eastAsia" w:ascii="宋体" w:hAnsi="宋体" w:eastAsia="宋体"/>
                <w:color w:val="auto"/>
                <w:spacing w:val="0"/>
                <w:w w:val="80"/>
                <w:szCs w:val="28"/>
                <w:highlight w:val="none"/>
                <w:lang w:val="zh-CN"/>
              </w:rPr>
              <w:t>路</w:t>
            </w:r>
            <w:r>
              <w:rPr>
                <w:rFonts w:hint="eastAsia" w:ascii="宋体" w:hAnsi="宋体" w:eastAsia="宋体"/>
                <w:color w:val="auto"/>
                <w:spacing w:val="0"/>
                <w:w w:val="80"/>
                <w:szCs w:val="28"/>
                <w:highlight w:val="none"/>
              </w:rPr>
              <w:t>157</w:t>
            </w:r>
            <w:r>
              <w:rPr>
                <w:rFonts w:hint="eastAsia" w:ascii="宋体" w:hAnsi="宋体" w:eastAsia="宋体"/>
                <w:color w:val="auto"/>
                <w:spacing w:val="0"/>
                <w:w w:val="80"/>
                <w:szCs w:val="28"/>
                <w:highlight w:val="none"/>
                <w:lang w:val="zh-CN"/>
              </w:rPr>
              <w:t>号</w:t>
            </w:r>
            <w:r>
              <w:rPr>
                <w:rFonts w:hint="eastAsia" w:ascii="宋体" w:hAnsi="宋体" w:eastAsia="宋体"/>
                <w:color w:val="auto"/>
                <w:spacing w:val="0"/>
                <w:w w:val="80"/>
                <w:szCs w:val="28"/>
                <w:highlight w:val="none"/>
              </w:rPr>
              <w:t>保利中汇广场A座</w:t>
            </w:r>
            <w:r>
              <w:rPr>
                <w:rFonts w:hint="eastAsia" w:ascii="宋体" w:hAnsi="宋体" w:eastAsia="宋体"/>
                <w:color w:val="auto"/>
                <w:spacing w:val="0"/>
                <w:w w:val="80"/>
                <w:szCs w:val="28"/>
                <w:highlight w:val="none"/>
                <w:lang w:val="zh-CN"/>
              </w:rPr>
              <w:t>21楼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80" w:lineRule="exact"/>
              <w:ind w:firstLine="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乙方</w:t>
            </w:r>
          </w:p>
        </w:tc>
        <w:tc>
          <w:tcPr>
            <w:tcW w:w="992" w:type="dxa"/>
          </w:tcPr>
          <w:p>
            <w:pPr>
              <w:spacing w:line="380" w:lineRule="exact"/>
              <w:ind w:firstLine="448" w:firstLineChars="200"/>
              <w:rPr>
                <w:rFonts w:ascii="宋体" w:hAnsi="宋体" w:eastAsia="宋体"/>
                <w:color w:val="auto"/>
                <w:spacing w:val="0"/>
                <w:w w:val="80"/>
                <w:szCs w:val="28"/>
                <w:highlight w:val="none"/>
              </w:rPr>
            </w:pPr>
          </w:p>
        </w:tc>
        <w:tc>
          <w:tcPr>
            <w:tcW w:w="1560" w:type="dxa"/>
          </w:tcPr>
          <w:p>
            <w:pPr>
              <w:spacing w:line="380" w:lineRule="exact"/>
              <w:ind w:firstLine="448" w:firstLineChars="200"/>
              <w:rPr>
                <w:rFonts w:ascii="宋体" w:hAnsi="宋体" w:eastAsia="宋体"/>
                <w:color w:val="auto"/>
                <w:spacing w:val="0"/>
                <w:w w:val="80"/>
                <w:szCs w:val="28"/>
                <w:highlight w:val="none"/>
              </w:rPr>
            </w:pPr>
          </w:p>
        </w:tc>
        <w:tc>
          <w:tcPr>
            <w:tcW w:w="1984" w:type="dxa"/>
          </w:tcPr>
          <w:p>
            <w:pPr>
              <w:spacing w:line="380" w:lineRule="exact"/>
              <w:ind w:firstLine="448" w:firstLineChars="200"/>
              <w:rPr>
                <w:rFonts w:ascii="宋体" w:hAnsi="宋体" w:eastAsia="宋体"/>
                <w:color w:val="auto"/>
                <w:spacing w:val="0"/>
                <w:w w:val="80"/>
                <w:szCs w:val="28"/>
                <w:highlight w:val="none"/>
              </w:rPr>
            </w:pPr>
          </w:p>
        </w:tc>
        <w:tc>
          <w:tcPr>
            <w:tcW w:w="3708" w:type="dxa"/>
          </w:tcPr>
          <w:p>
            <w:pPr>
              <w:spacing w:line="380" w:lineRule="exact"/>
              <w:ind w:firstLine="448" w:firstLineChars="200"/>
              <w:rPr>
                <w:rFonts w:ascii="宋体" w:hAnsi="宋体" w:eastAsia="宋体"/>
                <w:color w:val="auto"/>
                <w:spacing w:val="0"/>
                <w:w w:val="80"/>
                <w:szCs w:val="28"/>
                <w:highlight w:val="none"/>
              </w:rPr>
            </w:pPr>
          </w:p>
        </w:tc>
      </w:tr>
    </w:tbl>
    <w:p>
      <w:pPr>
        <w:spacing w:line="380" w:lineRule="exact"/>
        <w:ind w:firstLine="448" w:firstLineChars="200"/>
        <w:rPr>
          <w:rFonts w:ascii="宋体" w:hAnsi="宋体" w:eastAsia="宋体"/>
          <w:color w:val="auto"/>
          <w:spacing w:val="0"/>
          <w:w w:val="80"/>
          <w:szCs w:val="28"/>
          <w:highlight w:val="none"/>
        </w:rPr>
      </w:pPr>
      <w:r>
        <w:rPr>
          <w:rFonts w:hint="eastAsia" w:ascii="宋体" w:hAnsi="宋体" w:eastAsia="宋体"/>
          <w:color w:val="auto"/>
          <w:spacing w:val="0"/>
          <w:w w:val="80"/>
          <w:szCs w:val="28"/>
          <w:highlight w:val="none"/>
        </w:rPr>
        <w:t>以下无正文。</w:t>
      </w:r>
    </w:p>
    <w:p>
      <w:pPr>
        <w:spacing w:line="380" w:lineRule="exact"/>
        <w:ind w:firstLine="0"/>
        <w:rPr>
          <w:rFonts w:ascii="宋体" w:hAnsi="宋体" w:eastAsia="宋体"/>
          <w:b/>
          <w:color w:val="auto"/>
          <w:spacing w:val="0"/>
          <w:w w:val="80"/>
          <w:szCs w:val="24"/>
          <w:highlight w:val="none"/>
        </w:rPr>
      </w:pPr>
    </w:p>
    <w:p>
      <w:pPr>
        <w:spacing w:line="380" w:lineRule="exact"/>
        <w:ind w:firstLine="0"/>
        <w:rPr>
          <w:rFonts w:ascii="宋体" w:hAnsi="宋体" w:eastAsia="宋体"/>
          <w:b/>
          <w:color w:val="auto"/>
          <w:spacing w:val="0"/>
          <w:w w:val="80"/>
          <w:szCs w:val="24"/>
          <w:highlight w:val="none"/>
        </w:rPr>
      </w:pPr>
      <w:r>
        <w:rPr>
          <w:rFonts w:hint="eastAsia" w:ascii="宋体" w:hAnsi="宋体" w:eastAsia="宋体"/>
          <w:b/>
          <w:color w:val="auto"/>
          <w:spacing w:val="0"/>
          <w:w w:val="80"/>
          <w:szCs w:val="24"/>
          <w:highlight w:val="none"/>
        </w:rPr>
        <w:t xml:space="preserve">甲方：黑牛食品（广州）有限公司    </w:t>
      </w:r>
      <w:r>
        <w:rPr>
          <w:rFonts w:ascii="宋体" w:hAnsi="宋体" w:eastAsia="宋体"/>
          <w:b/>
          <w:color w:val="auto"/>
          <w:spacing w:val="0"/>
          <w:w w:val="80"/>
          <w:szCs w:val="24"/>
          <w:highlight w:val="none"/>
        </w:rPr>
        <w:t xml:space="preserve">        </w:t>
      </w:r>
      <w:r>
        <w:rPr>
          <w:rFonts w:hint="eastAsia" w:ascii="宋体" w:hAnsi="宋体" w:eastAsia="宋体"/>
          <w:b/>
          <w:color w:val="auto"/>
          <w:spacing w:val="0"/>
          <w:w w:val="80"/>
          <w:szCs w:val="24"/>
          <w:highlight w:val="none"/>
        </w:rPr>
        <w:t>乙方：</w:t>
      </w:r>
    </w:p>
    <w:p>
      <w:pPr>
        <w:spacing w:line="380" w:lineRule="exact"/>
        <w:ind w:firstLine="0"/>
        <w:rPr>
          <w:rFonts w:ascii="宋体" w:hAnsi="宋体" w:eastAsia="宋体"/>
          <w:color w:val="auto"/>
          <w:spacing w:val="0"/>
          <w:w w:val="80"/>
          <w:szCs w:val="24"/>
          <w:highlight w:val="none"/>
        </w:rPr>
      </w:pPr>
      <w:r>
        <w:rPr>
          <w:rFonts w:hint="eastAsia" w:ascii="宋体" w:hAnsi="宋体" w:eastAsia="宋体"/>
          <w:color w:val="auto"/>
          <w:spacing w:val="0"/>
          <w:w w:val="80"/>
          <w:szCs w:val="24"/>
          <w:highlight w:val="none"/>
        </w:rPr>
        <w:t xml:space="preserve">授权签约人：                            </w:t>
      </w:r>
      <w:r>
        <w:rPr>
          <w:rFonts w:ascii="宋体" w:hAnsi="宋体" w:eastAsia="宋体"/>
          <w:color w:val="auto"/>
          <w:spacing w:val="0"/>
          <w:w w:val="80"/>
          <w:szCs w:val="24"/>
          <w:highlight w:val="none"/>
        </w:rPr>
        <w:t xml:space="preserve"> </w:t>
      </w:r>
      <w:r>
        <w:rPr>
          <w:rFonts w:hint="eastAsia" w:ascii="宋体" w:hAnsi="宋体" w:eastAsia="宋体"/>
          <w:color w:val="auto"/>
          <w:spacing w:val="0"/>
          <w:w w:val="80"/>
          <w:szCs w:val="24"/>
          <w:highlight w:val="none"/>
        </w:rPr>
        <w:t xml:space="preserve"> 授权签约人：</w:t>
      </w:r>
    </w:p>
    <w:p>
      <w:pPr>
        <w:spacing w:line="380" w:lineRule="exact"/>
        <w:ind w:firstLine="0"/>
        <w:rPr>
          <w:rFonts w:eastAsia="宋体"/>
          <w:color w:val="auto"/>
          <w:spacing w:val="0"/>
          <w:w w:val="80"/>
          <w:szCs w:val="24"/>
          <w:highlight w:val="none"/>
        </w:rPr>
      </w:pPr>
      <w:r>
        <w:rPr>
          <w:rFonts w:hint="eastAsia" w:ascii="宋体" w:hAnsi="宋体" w:eastAsia="宋体"/>
          <w:color w:val="auto"/>
          <w:spacing w:val="0"/>
          <w:w w:val="80"/>
          <w:szCs w:val="24"/>
          <w:highlight w:val="none"/>
        </w:rPr>
        <w:t xml:space="preserve">签字日期：   年    月     日             </w:t>
      </w:r>
      <w:r>
        <w:rPr>
          <w:rFonts w:ascii="宋体" w:hAnsi="宋体" w:eastAsia="宋体"/>
          <w:color w:val="auto"/>
          <w:spacing w:val="0"/>
          <w:w w:val="80"/>
          <w:szCs w:val="24"/>
          <w:highlight w:val="none"/>
        </w:rPr>
        <w:t xml:space="preserve"> </w:t>
      </w:r>
      <w:r>
        <w:rPr>
          <w:rFonts w:hint="eastAsia" w:ascii="宋体" w:hAnsi="宋体" w:eastAsia="宋体"/>
          <w:color w:val="auto"/>
          <w:spacing w:val="0"/>
          <w:w w:val="80"/>
          <w:szCs w:val="24"/>
          <w:highlight w:val="none"/>
        </w:rPr>
        <w:t>签字日期：   年    月    日</w:t>
      </w:r>
    </w:p>
    <w:bookmarkEnd w:id="0"/>
    <w:sectPr>
      <w:headerReference r:id="rId5" w:type="default"/>
      <w:footerReference r:id="rId6" w:type="default"/>
      <w:pgSz w:w="11906" w:h="16838"/>
      <w:pgMar w:top="1361" w:right="1587" w:bottom="1361" w:left="1587" w:header="851" w:footer="992" w:gutter="0"/>
      <w:pgNumType w:fmt="numberInDash" w:start="1"/>
      <w:cols w:space="720"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3869873"/>
    </w:sdtPr>
    <w:sdtContent>
      <w:sdt>
        <w:sdtPr>
          <w:id w:val="1728636285"/>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- 2 -</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E90AE"/>
    <w:multiLevelType w:val="singleLevel"/>
    <w:tmpl w:val="B7CE90AE"/>
    <w:lvl w:ilvl="0" w:tentative="0">
      <w:start w:val="1"/>
      <w:numFmt w:val="chineseCounting"/>
      <w:suff w:val="nothing"/>
      <w:lvlText w:val="%1、"/>
      <w:lvlJc w:val="left"/>
      <w:rPr>
        <w:rFonts w:hint="eastAsia"/>
      </w:rPr>
    </w:lvl>
  </w:abstractNum>
  <w:abstractNum w:abstractNumId="1">
    <w:nsid w:val="3BEC7C80"/>
    <w:multiLevelType w:val="multilevel"/>
    <w:tmpl w:val="3BEC7C80"/>
    <w:lvl w:ilvl="0" w:tentative="0">
      <w:start w:val="1"/>
      <w:numFmt w:val="decimal"/>
      <w:lvlText w:val="%1、"/>
      <w:lvlJc w:val="left"/>
      <w:pPr>
        <w:ind w:left="866" w:hanging="420"/>
      </w:pPr>
      <w:rPr>
        <w:rFonts w:hint="eastAsia"/>
      </w:rPr>
    </w:lvl>
    <w:lvl w:ilvl="1" w:tentative="0">
      <w:start w:val="1"/>
      <w:numFmt w:val="lowerLetter"/>
      <w:lvlText w:val="%2)"/>
      <w:lvlJc w:val="left"/>
      <w:pPr>
        <w:ind w:left="1286" w:hanging="420"/>
      </w:pPr>
    </w:lvl>
    <w:lvl w:ilvl="2" w:tentative="0">
      <w:start w:val="1"/>
      <w:numFmt w:val="lowerRoman"/>
      <w:lvlText w:val="%3."/>
      <w:lvlJc w:val="righ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abstractNum w:abstractNumId="2">
    <w:nsid w:val="4C9708C4"/>
    <w:multiLevelType w:val="multilevel"/>
    <w:tmpl w:val="4C9708C4"/>
    <w:lvl w:ilvl="0" w:tentative="0">
      <w:start w:val="1"/>
      <w:numFmt w:val="decimal"/>
      <w:lvlText w:val="%1、"/>
      <w:lvlJc w:val="left"/>
      <w:pPr>
        <w:ind w:left="866" w:hanging="420"/>
      </w:pPr>
      <w:rPr>
        <w:rFonts w:hint="eastAsia"/>
      </w:rPr>
    </w:lvl>
    <w:lvl w:ilvl="1" w:tentative="0">
      <w:start w:val="1"/>
      <w:numFmt w:val="lowerLetter"/>
      <w:lvlText w:val="%2)"/>
      <w:lvlJc w:val="left"/>
      <w:pPr>
        <w:ind w:left="1286" w:hanging="420"/>
      </w:pPr>
    </w:lvl>
    <w:lvl w:ilvl="2" w:tentative="0">
      <w:start w:val="1"/>
      <w:numFmt w:val="lowerRoman"/>
      <w:lvlText w:val="%3."/>
      <w:lvlJc w:val="righ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abstractNum w:abstractNumId="3">
    <w:nsid w:val="60C527FE"/>
    <w:multiLevelType w:val="multilevel"/>
    <w:tmpl w:val="60C527FE"/>
    <w:lvl w:ilvl="0" w:tentative="0">
      <w:start w:val="1"/>
      <w:numFmt w:val="decimal"/>
      <w:lvlText w:val="%1、"/>
      <w:lvlJc w:val="left"/>
      <w:pPr>
        <w:ind w:left="866" w:hanging="420"/>
      </w:pPr>
      <w:rPr>
        <w:rFonts w:hint="eastAsia"/>
      </w:rPr>
    </w:lvl>
    <w:lvl w:ilvl="1" w:tentative="0">
      <w:start w:val="1"/>
      <w:numFmt w:val="lowerLetter"/>
      <w:lvlText w:val="%2)"/>
      <w:lvlJc w:val="left"/>
      <w:pPr>
        <w:ind w:left="1286" w:hanging="420"/>
      </w:pPr>
    </w:lvl>
    <w:lvl w:ilvl="2" w:tentative="0">
      <w:start w:val="1"/>
      <w:numFmt w:val="lowerRoman"/>
      <w:lvlText w:val="%3."/>
      <w:lvlJc w:val="righ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326BEC"/>
    <w:rsid w:val="000403DF"/>
    <w:rsid w:val="000A2CAD"/>
    <w:rsid w:val="00196947"/>
    <w:rsid w:val="001A4EFD"/>
    <w:rsid w:val="001C5042"/>
    <w:rsid w:val="002D1BF2"/>
    <w:rsid w:val="00525E3A"/>
    <w:rsid w:val="00580635"/>
    <w:rsid w:val="00681708"/>
    <w:rsid w:val="006E12A2"/>
    <w:rsid w:val="006F2086"/>
    <w:rsid w:val="00715763"/>
    <w:rsid w:val="00852119"/>
    <w:rsid w:val="0091583E"/>
    <w:rsid w:val="00A00542"/>
    <w:rsid w:val="00A65838"/>
    <w:rsid w:val="00A77AA9"/>
    <w:rsid w:val="00A86881"/>
    <w:rsid w:val="00AF3E3F"/>
    <w:rsid w:val="00BA2E2B"/>
    <w:rsid w:val="00BC37BA"/>
    <w:rsid w:val="00C23431"/>
    <w:rsid w:val="00C4526F"/>
    <w:rsid w:val="00D97137"/>
    <w:rsid w:val="00E07814"/>
    <w:rsid w:val="00FC59C1"/>
    <w:rsid w:val="079B479B"/>
    <w:rsid w:val="0C61138F"/>
    <w:rsid w:val="0DAE0262"/>
    <w:rsid w:val="0F544761"/>
    <w:rsid w:val="10415709"/>
    <w:rsid w:val="183C54C1"/>
    <w:rsid w:val="18655E04"/>
    <w:rsid w:val="1DF60E90"/>
    <w:rsid w:val="236F58F6"/>
    <w:rsid w:val="24984A30"/>
    <w:rsid w:val="251D4DDF"/>
    <w:rsid w:val="25FA04C0"/>
    <w:rsid w:val="27F602B2"/>
    <w:rsid w:val="2BF547D5"/>
    <w:rsid w:val="32241ADA"/>
    <w:rsid w:val="330A6E1E"/>
    <w:rsid w:val="348D4A2F"/>
    <w:rsid w:val="382F4A86"/>
    <w:rsid w:val="46961F57"/>
    <w:rsid w:val="51DA799D"/>
    <w:rsid w:val="5A206D81"/>
    <w:rsid w:val="62DD094A"/>
    <w:rsid w:val="6A944900"/>
    <w:rsid w:val="6C326BEC"/>
    <w:rsid w:val="6E882C1F"/>
    <w:rsid w:val="711010AF"/>
    <w:rsid w:val="73B55D55"/>
    <w:rsid w:val="76A21089"/>
    <w:rsid w:val="7DE8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ind w:firstLine="601"/>
      <w:jc w:val="both"/>
      <w:textAlignment w:val="baseline"/>
    </w:pPr>
    <w:rPr>
      <w:rFonts w:ascii="Times New Roman" w:hAnsi="Times New Roman" w:eastAsia="楷体_GB2312" w:cs="Times New Roman"/>
      <w:spacing w:val="8"/>
      <w:sz w:val="28"/>
      <w:lang w:val="en-US" w:eastAsia="zh-CN" w:bidi="ar-SA"/>
    </w:rPr>
  </w:style>
  <w:style w:type="paragraph" w:styleId="2">
    <w:name w:val="heading 3"/>
    <w:basedOn w:val="1"/>
    <w:next w:val="1"/>
    <w:unhideWhenUsed/>
    <w:qFormat/>
    <w:uiPriority w:val="9"/>
    <w:pPr>
      <w:keepNext/>
      <w:keepLines/>
      <w:spacing w:before="260" w:after="260" w:line="240" w:lineRule="auto"/>
      <w:ind w:firstLine="0"/>
      <w:outlineLvl w:val="2"/>
    </w:pPr>
    <w:rPr>
      <w:b/>
      <w:kern w:val="2"/>
      <w:sz w:val="3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0"/>
    </w:pPr>
  </w:style>
  <w:style w:type="paragraph" w:styleId="4">
    <w:name w:val="annotation text"/>
    <w:basedOn w:val="1"/>
    <w:qFormat/>
    <w:uiPriority w:val="0"/>
    <w:pPr>
      <w:jc w:val="left"/>
    </w:pPr>
  </w:style>
  <w:style w:type="paragraph" w:styleId="5">
    <w:name w:val="footer"/>
    <w:basedOn w:val="1"/>
    <w:link w:val="12"/>
    <w:qFormat/>
    <w:uiPriority w:val="99"/>
    <w:pPr>
      <w:tabs>
        <w:tab w:val="center" w:pos="4153"/>
        <w:tab w:val="right" w:pos="8306"/>
      </w:tabs>
      <w:snapToGrid w:val="0"/>
      <w:spacing w:line="240" w:lineRule="atLeast"/>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9">
    <w:name w:val="行文"/>
    <w:basedOn w:val="1"/>
    <w:qFormat/>
    <w:uiPriority w:val="0"/>
    <w:pPr>
      <w:spacing w:line="480" w:lineRule="exact"/>
      <w:ind w:firstLine="624"/>
    </w:pPr>
    <w:rPr>
      <w:rFonts w:eastAsia="仿宋_GB2312"/>
      <w:sz w:val="30"/>
    </w:rPr>
  </w:style>
  <w:style w:type="paragraph" w:styleId="10">
    <w:name w:val="No Spacing"/>
    <w:qFormat/>
    <w:uiPriority w:val="1"/>
    <w:rPr>
      <w:rFonts w:ascii="Calibri" w:hAnsi="Calibri" w:eastAsia="宋体" w:cs="Times New Roman"/>
      <w:sz w:val="22"/>
      <w:szCs w:val="22"/>
      <w:lang w:val="en-US" w:eastAsia="zh-CN" w:bidi="ar-SA"/>
    </w:rPr>
  </w:style>
  <w:style w:type="paragraph" w:styleId="11">
    <w:name w:val="List Paragraph"/>
    <w:basedOn w:val="1"/>
    <w:qFormat/>
    <w:uiPriority w:val="34"/>
    <w:pPr>
      <w:ind w:firstLine="420" w:firstLineChars="200"/>
    </w:pPr>
  </w:style>
  <w:style w:type="character" w:customStyle="1" w:styleId="12">
    <w:name w:val="页脚 字符"/>
    <w:basedOn w:val="8"/>
    <w:link w:val="5"/>
    <w:qFormat/>
    <w:uiPriority w:val="99"/>
    <w:rPr>
      <w:rFonts w:eastAsia="楷体_GB2312"/>
      <w:spacing w:val="8"/>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597</Words>
  <Characters>3404</Characters>
  <Lines>28</Lines>
  <Paragraphs>7</Paragraphs>
  <TotalTime>6</TotalTime>
  <ScaleCrop>false</ScaleCrop>
  <LinksUpToDate>false</LinksUpToDate>
  <CharactersWithSpaces>3994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2021-03-25T07:12:00Z</dcterms:created>
  <dc:creator>shewq</dc:creator>
  <cp:lastModifiedBy>shewq</cp:lastModifiedBy>
  <dcterms:modified xsi:type="dcterms:W3CDTF">2021-04-01T07:18:02Z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3DFF4DBE874C4CF58ACEA0ABA2FE8B31</vt:lpwstr>
  </property>
</Properties>
</file>